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31478" w14:textId="657BB6B2" w:rsidR="00655B8C" w:rsidRPr="00D11E00" w:rsidRDefault="00E042EA" w:rsidP="00D11E00">
      <w:pPr>
        <w:spacing w:after="40"/>
        <w:jc w:val="center"/>
        <w:rPr>
          <w:rFonts w:ascii="Times New Roman" w:hAnsi="Times New Roman" w:cs="Times New Roman"/>
          <w:b/>
          <w:bCs/>
          <w:sz w:val="28"/>
          <w:szCs w:val="28"/>
        </w:rPr>
      </w:pPr>
      <w:r w:rsidRPr="00D11E00">
        <w:rPr>
          <w:rFonts w:ascii="Times New Roman" w:hAnsi="Times New Roman" w:cs="Times New Roman"/>
          <w:b/>
          <w:bCs/>
          <w:sz w:val="28"/>
          <w:szCs w:val="28"/>
        </w:rPr>
        <w:t>Task 3 Technical Document</w:t>
      </w:r>
      <w:r w:rsidR="00D11E00" w:rsidRPr="00D11E00">
        <w:rPr>
          <w:rFonts w:ascii="Times New Roman" w:hAnsi="Times New Roman" w:cs="Times New Roman" w:hint="eastAsia"/>
          <w:b/>
          <w:bCs/>
          <w:sz w:val="28"/>
          <w:szCs w:val="28"/>
        </w:rPr>
        <w:t xml:space="preserve"> </w:t>
      </w:r>
      <w:r w:rsidRPr="00D11E00">
        <w:rPr>
          <w:rFonts w:ascii="Times New Roman" w:hAnsi="Times New Roman" w:cs="Times New Roman"/>
          <w:b/>
          <w:bCs/>
          <w:sz w:val="28"/>
          <w:szCs w:val="28"/>
        </w:rPr>
        <w:t>(Option C)</w:t>
      </w:r>
    </w:p>
    <w:p w14:paraId="0F2B4FBF" w14:textId="5E7F893A" w:rsidR="00E042EA" w:rsidRPr="00D11E00" w:rsidRDefault="00E042EA" w:rsidP="00D11E00">
      <w:pPr>
        <w:spacing w:after="40"/>
        <w:jc w:val="both"/>
        <w:rPr>
          <w:rFonts w:ascii="Times New Roman" w:hAnsi="Times New Roman" w:cs="Times New Roman"/>
          <w:b/>
          <w:bCs/>
          <w:sz w:val="24"/>
          <w:szCs w:val="24"/>
        </w:rPr>
      </w:pPr>
      <w:r w:rsidRPr="00D11E00">
        <w:rPr>
          <w:rFonts w:ascii="Times New Roman" w:hAnsi="Times New Roman" w:cs="Times New Roman"/>
          <w:b/>
          <w:bCs/>
          <w:sz w:val="24"/>
          <w:szCs w:val="24"/>
        </w:rPr>
        <w:t>1 Overview and Purpose</w:t>
      </w:r>
    </w:p>
    <w:p w14:paraId="58161925" w14:textId="133F9A6D" w:rsidR="00D11E00" w:rsidRPr="00D11E00" w:rsidRDefault="00000000" w:rsidP="00D11E00">
      <w:pPr>
        <w:spacing w:after="90"/>
        <w:jc w:val="both"/>
        <w:rPr>
          <w:rFonts w:ascii="Times New Roman" w:hAnsi="Times New Roman" w:cs="Times New Roman"/>
          <w:sz w:val="24"/>
          <w:szCs w:val="24"/>
        </w:rPr>
      </w:pPr>
      <w:r w:rsidRPr="00D11E00">
        <w:rPr>
          <w:rFonts w:ascii="Times New Roman" w:eastAsia="Arial" w:hAnsi="Times New Roman" w:cs="Times New Roman"/>
          <w:sz w:val="24"/>
          <w:szCs w:val="24"/>
        </w:rPr>
        <w:t xml:space="preserve">This document describes the five synthetic datasets generated to support the </w:t>
      </w:r>
      <w:proofErr w:type="spellStart"/>
      <w:r w:rsidRPr="00D11E00">
        <w:rPr>
          <w:rFonts w:ascii="Times New Roman" w:eastAsia="Arial" w:hAnsi="Times New Roman" w:cs="Times New Roman"/>
          <w:sz w:val="24"/>
          <w:szCs w:val="24"/>
        </w:rPr>
        <w:t>VeridianMRM</w:t>
      </w:r>
      <w:proofErr w:type="spellEnd"/>
      <w:r w:rsidRPr="00D11E00">
        <w:rPr>
          <w:rFonts w:ascii="Times New Roman" w:eastAsia="Arial" w:hAnsi="Times New Roman" w:cs="Times New Roman"/>
          <w:sz w:val="24"/>
          <w:szCs w:val="24"/>
        </w:rPr>
        <w:t xml:space="preserve"> tool demonstration in Task 3. All data is synthetic and fully reproducible. No real customer, model, or bank data was used. The datasets are designed to be statistically plausible for a retail credit scoring context in Singapore (2022–2026), with distributional assumptions informed by published MAS Financial Stability Review statistics.</w:t>
      </w:r>
    </w:p>
    <w:p w14:paraId="59C68BE0" w14:textId="0A141587" w:rsidR="00655B8C" w:rsidRPr="00D11E00" w:rsidRDefault="00E042EA" w:rsidP="00D11E00">
      <w:pPr>
        <w:spacing w:after="90"/>
        <w:jc w:val="both"/>
        <w:rPr>
          <w:rFonts w:ascii="Times New Roman" w:hAnsi="Times New Roman" w:cs="Times New Roman"/>
          <w:sz w:val="24"/>
          <w:szCs w:val="24"/>
        </w:rPr>
      </w:pPr>
      <w:r w:rsidRPr="00D11E00">
        <w:rPr>
          <w:rFonts w:ascii="Times New Roman" w:hAnsi="Times New Roman" w:cs="Times New Roman"/>
          <w:sz w:val="24"/>
          <w:szCs w:val="24"/>
        </w:rPr>
        <w:t xml:space="preserve">For the data generation portion of this assignment, the work was </w:t>
      </w:r>
      <w:r w:rsidR="00D11E00">
        <w:rPr>
          <w:rFonts w:ascii="Times New Roman" w:hAnsi="Times New Roman" w:cs="Times New Roman" w:hint="eastAsia"/>
          <w:sz w:val="24"/>
          <w:szCs w:val="24"/>
        </w:rPr>
        <w:t xml:space="preserve">also </w:t>
      </w:r>
      <w:r w:rsidRPr="00D11E00">
        <w:rPr>
          <w:rFonts w:ascii="Times New Roman" w:hAnsi="Times New Roman" w:cs="Times New Roman"/>
          <w:sz w:val="24"/>
          <w:szCs w:val="24"/>
        </w:rPr>
        <w:t>completed collaboratively by CHEN SHIYU</w:t>
      </w:r>
      <w:r w:rsidR="00D11E00">
        <w:rPr>
          <w:rFonts w:ascii="Times New Roman" w:hAnsi="Times New Roman" w:cs="Times New Roman" w:hint="eastAsia"/>
          <w:sz w:val="24"/>
          <w:szCs w:val="24"/>
        </w:rPr>
        <w:t xml:space="preserve"> and</w:t>
      </w:r>
      <w:r w:rsidRPr="00D11E00">
        <w:rPr>
          <w:rFonts w:ascii="Times New Roman" w:hAnsi="Times New Roman" w:cs="Times New Roman"/>
          <w:sz w:val="24"/>
          <w:szCs w:val="24"/>
        </w:rPr>
        <w:t xml:space="preserve"> LIU YU. Each partner contributed to the design of the synthetic data generation logic, the calibration of feature distributions, and the review of the resulting datasets.</w:t>
      </w:r>
    </w:p>
    <w:tbl>
      <w:tblPr>
        <w:tblW w:w="9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1"/>
      </w:tblGrid>
      <w:tr w:rsidR="00D11E00" w:rsidRPr="00D11E00" w14:paraId="25840F96" w14:textId="77777777" w:rsidTr="002569EF">
        <w:trPr>
          <w:trHeight w:val="284"/>
        </w:trPr>
        <w:tc>
          <w:tcPr>
            <w:tcW w:w="0" w:type="auto"/>
            <w:shd w:val="clear" w:color="auto" w:fill="1B3A6B"/>
            <w:tcMar>
              <w:top w:w="80" w:type="dxa"/>
              <w:left w:w="150" w:type="dxa"/>
              <w:bottom w:w="80" w:type="dxa"/>
              <w:right w:w="150" w:type="dxa"/>
            </w:tcMar>
          </w:tcPr>
          <w:p w14:paraId="30F0EB6A" w14:textId="77777777" w:rsidR="00655B8C" w:rsidRPr="00D11E00" w:rsidRDefault="00000000" w:rsidP="00D11E00">
            <w:pPr>
              <w:jc w:val="both"/>
              <w:rPr>
                <w:rFonts w:ascii="Times New Roman" w:hAnsi="Times New Roman" w:cs="Times New Roman"/>
                <w:sz w:val="24"/>
                <w:szCs w:val="24"/>
              </w:rPr>
            </w:pPr>
            <w:r w:rsidRPr="00D11E00">
              <w:rPr>
                <w:rFonts w:ascii="Times New Roman" w:eastAsia="Arial" w:hAnsi="Times New Roman" w:cs="Times New Roman"/>
                <w:b/>
                <w:bCs/>
                <w:sz w:val="24"/>
                <w:szCs w:val="24"/>
              </w:rPr>
              <w:t>Dataset Inventory</w:t>
            </w:r>
          </w:p>
        </w:tc>
      </w:tr>
      <w:tr w:rsidR="00D11E00" w:rsidRPr="00D11E00" w14:paraId="55F6C9EB" w14:textId="77777777" w:rsidTr="002569EF">
        <w:trPr>
          <w:trHeight w:val="284"/>
        </w:trPr>
        <w:tc>
          <w:tcPr>
            <w:tcW w:w="0" w:type="auto"/>
            <w:shd w:val="clear" w:color="auto" w:fill="FFFFFF" w:themeFill="background1"/>
            <w:tcMar>
              <w:top w:w="60" w:type="dxa"/>
              <w:left w:w="150" w:type="dxa"/>
              <w:bottom w:w="60" w:type="dxa"/>
              <w:right w:w="150" w:type="dxa"/>
            </w:tcMar>
          </w:tcPr>
          <w:p w14:paraId="5656AB4F" w14:textId="77777777" w:rsidR="00655B8C" w:rsidRPr="00D11E00" w:rsidRDefault="00000000" w:rsidP="00D11E00">
            <w:pPr>
              <w:jc w:val="both"/>
              <w:rPr>
                <w:rFonts w:ascii="Times New Roman" w:hAnsi="Times New Roman" w:cs="Times New Roman"/>
                <w:sz w:val="24"/>
                <w:szCs w:val="24"/>
              </w:rPr>
            </w:pPr>
            <w:r w:rsidRPr="00D11E00">
              <w:rPr>
                <w:rFonts w:ascii="Times New Roman" w:eastAsia="Arial" w:hAnsi="Times New Roman" w:cs="Times New Roman"/>
                <w:sz w:val="24"/>
                <w:szCs w:val="24"/>
              </w:rPr>
              <w:t>Task3_TrainingData.csv     — 5,000 synthetic loan applications (2022–2023 training period)</w:t>
            </w:r>
          </w:p>
        </w:tc>
      </w:tr>
      <w:tr w:rsidR="00D11E00" w:rsidRPr="00D11E00" w14:paraId="472B5C6D" w14:textId="77777777" w:rsidTr="002569EF">
        <w:trPr>
          <w:trHeight w:val="296"/>
        </w:trPr>
        <w:tc>
          <w:tcPr>
            <w:tcW w:w="0" w:type="auto"/>
            <w:shd w:val="clear" w:color="auto" w:fill="F2F2F2" w:themeFill="background1" w:themeFillShade="F2"/>
            <w:tcMar>
              <w:top w:w="60" w:type="dxa"/>
              <w:left w:w="150" w:type="dxa"/>
              <w:bottom w:w="60" w:type="dxa"/>
              <w:right w:w="150" w:type="dxa"/>
            </w:tcMar>
          </w:tcPr>
          <w:p w14:paraId="77AD1C80" w14:textId="77777777" w:rsidR="00655B8C" w:rsidRPr="00D11E00" w:rsidRDefault="00000000" w:rsidP="00D11E00">
            <w:pPr>
              <w:jc w:val="both"/>
              <w:rPr>
                <w:rFonts w:ascii="Times New Roman" w:hAnsi="Times New Roman" w:cs="Times New Roman"/>
                <w:sz w:val="24"/>
                <w:szCs w:val="24"/>
              </w:rPr>
            </w:pPr>
            <w:r w:rsidRPr="00D11E00">
              <w:rPr>
                <w:rFonts w:ascii="Times New Roman" w:eastAsia="Arial" w:hAnsi="Times New Roman" w:cs="Times New Roman"/>
                <w:sz w:val="24"/>
                <w:szCs w:val="24"/>
              </w:rPr>
              <w:t>Task3_LiveData.csv         — 3,000 synthetic loan applications (2025–2026 live period)</w:t>
            </w:r>
          </w:p>
        </w:tc>
      </w:tr>
      <w:tr w:rsidR="00D11E00" w:rsidRPr="00D11E00" w14:paraId="517AEB6E" w14:textId="77777777" w:rsidTr="002569EF">
        <w:trPr>
          <w:trHeight w:val="284"/>
        </w:trPr>
        <w:tc>
          <w:tcPr>
            <w:tcW w:w="0" w:type="auto"/>
            <w:shd w:val="clear" w:color="auto" w:fill="FFFFFF" w:themeFill="background1"/>
            <w:tcMar>
              <w:top w:w="60" w:type="dxa"/>
              <w:left w:w="150" w:type="dxa"/>
              <w:bottom w:w="60" w:type="dxa"/>
              <w:right w:w="150" w:type="dxa"/>
            </w:tcMar>
          </w:tcPr>
          <w:p w14:paraId="65859A3C" w14:textId="77777777" w:rsidR="00655B8C" w:rsidRPr="00D11E00" w:rsidRDefault="00000000" w:rsidP="00D11E00">
            <w:pPr>
              <w:jc w:val="both"/>
              <w:rPr>
                <w:rFonts w:ascii="Times New Roman" w:hAnsi="Times New Roman" w:cs="Times New Roman"/>
                <w:sz w:val="24"/>
                <w:szCs w:val="24"/>
              </w:rPr>
            </w:pPr>
            <w:r w:rsidRPr="00D11E00">
              <w:rPr>
                <w:rFonts w:ascii="Times New Roman" w:eastAsia="Arial" w:hAnsi="Times New Roman" w:cs="Times New Roman"/>
                <w:sz w:val="24"/>
                <w:szCs w:val="24"/>
              </w:rPr>
              <w:t>Task3_PerformanceMetrics.csv — 52-month AUC and PSI time series (Jan 2022 – Apr 2026)</w:t>
            </w:r>
          </w:p>
        </w:tc>
      </w:tr>
      <w:tr w:rsidR="00D11E00" w:rsidRPr="00D11E00" w14:paraId="5BC3C18B" w14:textId="77777777" w:rsidTr="002569EF">
        <w:trPr>
          <w:trHeight w:val="284"/>
        </w:trPr>
        <w:tc>
          <w:tcPr>
            <w:tcW w:w="0" w:type="auto"/>
            <w:shd w:val="clear" w:color="auto" w:fill="F2F2F2" w:themeFill="background1" w:themeFillShade="F2"/>
            <w:tcMar>
              <w:top w:w="60" w:type="dxa"/>
              <w:left w:w="150" w:type="dxa"/>
              <w:bottom w:w="60" w:type="dxa"/>
              <w:right w:w="150" w:type="dxa"/>
            </w:tcMar>
          </w:tcPr>
          <w:p w14:paraId="73A6A98F" w14:textId="77777777" w:rsidR="00655B8C" w:rsidRPr="00D11E00" w:rsidRDefault="00000000" w:rsidP="00D11E00">
            <w:pPr>
              <w:jc w:val="both"/>
              <w:rPr>
                <w:rFonts w:ascii="Times New Roman" w:hAnsi="Times New Roman" w:cs="Times New Roman"/>
                <w:sz w:val="24"/>
                <w:szCs w:val="24"/>
              </w:rPr>
            </w:pPr>
            <w:r w:rsidRPr="00D11E00">
              <w:rPr>
                <w:rFonts w:ascii="Times New Roman" w:eastAsia="Arial" w:hAnsi="Times New Roman" w:cs="Times New Roman"/>
                <w:sz w:val="24"/>
                <w:szCs w:val="24"/>
              </w:rPr>
              <w:t>Task3_PSIBreakdown.csv     — 10-bucket PSI decomposition (training vs live distribution)</w:t>
            </w:r>
          </w:p>
        </w:tc>
      </w:tr>
      <w:tr w:rsidR="00D11E00" w:rsidRPr="00D11E00" w14:paraId="07EEED31" w14:textId="77777777" w:rsidTr="002569EF">
        <w:trPr>
          <w:trHeight w:val="296"/>
        </w:trPr>
        <w:tc>
          <w:tcPr>
            <w:tcW w:w="0" w:type="auto"/>
            <w:shd w:val="clear" w:color="auto" w:fill="FFFFFF" w:themeFill="background1"/>
            <w:tcMar>
              <w:top w:w="60" w:type="dxa"/>
              <w:left w:w="150" w:type="dxa"/>
              <w:bottom w:w="60" w:type="dxa"/>
              <w:right w:w="150" w:type="dxa"/>
            </w:tcMar>
          </w:tcPr>
          <w:p w14:paraId="7FE4CF3A" w14:textId="77777777" w:rsidR="00655B8C" w:rsidRPr="00D11E00" w:rsidRDefault="00000000" w:rsidP="00D11E00">
            <w:pPr>
              <w:jc w:val="both"/>
              <w:rPr>
                <w:rFonts w:ascii="Times New Roman" w:hAnsi="Times New Roman" w:cs="Times New Roman"/>
                <w:sz w:val="24"/>
                <w:szCs w:val="24"/>
              </w:rPr>
            </w:pPr>
            <w:r w:rsidRPr="00D11E00">
              <w:rPr>
                <w:rFonts w:ascii="Times New Roman" w:eastAsia="Arial" w:hAnsi="Times New Roman" w:cs="Times New Roman"/>
                <w:sz w:val="24"/>
                <w:szCs w:val="24"/>
              </w:rPr>
              <w:t>Task3_BiasAnalysis.csv     — Approval rate disparity by gender and ethnicity</w:t>
            </w:r>
          </w:p>
        </w:tc>
      </w:tr>
      <w:tr w:rsidR="00D11E00" w:rsidRPr="00D11E00" w14:paraId="5FE86E90" w14:textId="77777777" w:rsidTr="002569EF">
        <w:trPr>
          <w:trHeight w:val="296"/>
        </w:trPr>
        <w:tc>
          <w:tcPr>
            <w:tcW w:w="0" w:type="auto"/>
            <w:shd w:val="clear" w:color="auto" w:fill="F2F2F2" w:themeFill="background1" w:themeFillShade="F2"/>
            <w:tcMar>
              <w:top w:w="60" w:type="dxa"/>
              <w:left w:w="150" w:type="dxa"/>
              <w:bottom w:w="60" w:type="dxa"/>
              <w:right w:w="150" w:type="dxa"/>
            </w:tcMar>
          </w:tcPr>
          <w:p w14:paraId="740E33DC" w14:textId="77777777" w:rsidR="00655B8C" w:rsidRPr="00D11E00" w:rsidRDefault="00000000" w:rsidP="00D11E00">
            <w:pPr>
              <w:jc w:val="both"/>
              <w:rPr>
                <w:rFonts w:ascii="Times New Roman" w:hAnsi="Times New Roman" w:cs="Times New Roman"/>
                <w:sz w:val="24"/>
                <w:szCs w:val="24"/>
              </w:rPr>
            </w:pPr>
            <w:r w:rsidRPr="00D11E00">
              <w:rPr>
                <w:rFonts w:ascii="Times New Roman" w:eastAsia="Arial" w:hAnsi="Times New Roman" w:cs="Times New Roman"/>
                <w:sz w:val="24"/>
                <w:szCs w:val="24"/>
              </w:rPr>
              <w:t>Generation: Python (NumPy, Pandas, scikit-learn). Seeds: 42 (applications), 7 (time series).</w:t>
            </w:r>
          </w:p>
        </w:tc>
      </w:tr>
    </w:tbl>
    <w:p w14:paraId="3221D046" w14:textId="77777777" w:rsidR="00655B8C" w:rsidRPr="00D11E00" w:rsidRDefault="00655B8C" w:rsidP="00D11E00">
      <w:pPr>
        <w:spacing w:after="40"/>
        <w:jc w:val="both"/>
        <w:rPr>
          <w:rFonts w:ascii="Times New Roman" w:hAnsi="Times New Roman" w:cs="Times New Roman"/>
          <w:sz w:val="24"/>
          <w:szCs w:val="24"/>
        </w:rPr>
      </w:pPr>
    </w:p>
    <w:p w14:paraId="7E49030B" w14:textId="637F2CDF" w:rsidR="00E042EA" w:rsidRPr="00D11E00" w:rsidRDefault="00E042EA" w:rsidP="00D11E00">
      <w:pPr>
        <w:widowControl/>
        <w:jc w:val="both"/>
        <w:rPr>
          <w:rFonts w:ascii="Times New Roman" w:hAnsi="Times New Roman" w:cs="Times New Roman"/>
          <w:sz w:val="24"/>
          <w:szCs w:val="24"/>
        </w:rPr>
      </w:pPr>
      <w:r w:rsidRPr="00D11E00">
        <w:rPr>
          <w:rFonts w:ascii="Times New Roman" w:hAnsi="Times New Roman" w:cs="Times New Roman"/>
          <w:sz w:val="24"/>
          <w:szCs w:val="24"/>
        </w:rPr>
        <w:br w:type="page"/>
      </w:r>
    </w:p>
    <w:p w14:paraId="434FBCF9" w14:textId="716C3022" w:rsidR="00E042EA" w:rsidRPr="00D11E00" w:rsidRDefault="00E042EA" w:rsidP="00D11E00">
      <w:pPr>
        <w:spacing w:after="40"/>
        <w:jc w:val="both"/>
        <w:rPr>
          <w:rFonts w:ascii="Times New Roman" w:hAnsi="Times New Roman" w:cs="Times New Roman"/>
          <w:b/>
          <w:bCs/>
          <w:sz w:val="24"/>
          <w:szCs w:val="24"/>
        </w:rPr>
      </w:pPr>
      <w:r w:rsidRPr="00D11E00">
        <w:rPr>
          <w:rFonts w:ascii="Times New Roman" w:hAnsi="Times New Roman" w:cs="Times New Roman"/>
          <w:b/>
          <w:bCs/>
          <w:sz w:val="24"/>
          <w:szCs w:val="24"/>
        </w:rPr>
        <w:lastRenderedPageBreak/>
        <w:t>2 Data Generation Methodology</w:t>
      </w:r>
    </w:p>
    <w:p w14:paraId="65116715" w14:textId="54144F1C" w:rsidR="00E042EA" w:rsidRPr="00D11E00" w:rsidRDefault="00E042EA" w:rsidP="00D11E00">
      <w:pPr>
        <w:spacing w:after="40"/>
        <w:jc w:val="both"/>
        <w:rPr>
          <w:rFonts w:ascii="Times New Roman" w:hAnsi="Times New Roman" w:cs="Times New Roman"/>
          <w:b/>
          <w:bCs/>
          <w:sz w:val="24"/>
          <w:szCs w:val="24"/>
        </w:rPr>
      </w:pPr>
      <w:r w:rsidRPr="00D11E00">
        <w:rPr>
          <w:rFonts w:ascii="Times New Roman" w:hAnsi="Times New Roman" w:cs="Times New Roman"/>
          <w:b/>
          <w:bCs/>
          <w:sz w:val="24"/>
          <w:szCs w:val="24"/>
        </w:rPr>
        <w:t>2.1</w:t>
      </w:r>
      <w:r w:rsidR="00D11E00" w:rsidRPr="00D11E00">
        <w:rPr>
          <w:rFonts w:ascii="Times New Roman" w:hAnsi="Times New Roman" w:cs="Times New Roman"/>
          <w:b/>
          <w:bCs/>
          <w:sz w:val="24"/>
          <w:szCs w:val="24"/>
        </w:rPr>
        <w:t xml:space="preserve"> </w:t>
      </w:r>
      <w:r w:rsidRPr="00D11E00">
        <w:rPr>
          <w:rFonts w:ascii="Times New Roman" w:hAnsi="Times New Roman" w:cs="Times New Roman"/>
          <w:b/>
          <w:bCs/>
          <w:sz w:val="24"/>
          <w:szCs w:val="24"/>
        </w:rPr>
        <w:t>Why Synthetic Data?</w:t>
      </w:r>
    </w:p>
    <w:p w14:paraId="67AC8D88" w14:textId="77777777" w:rsidR="00E042EA" w:rsidRPr="00D11E00" w:rsidRDefault="00E042EA" w:rsidP="00D11E00">
      <w:pPr>
        <w:spacing w:after="40"/>
        <w:jc w:val="both"/>
        <w:rPr>
          <w:rFonts w:ascii="Times New Roman" w:hAnsi="Times New Roman" w:cs="Times New Roman"/>
          <w:sz w:val="24"/>
          <w:szCs w:val="24"/>
        </w:rPr>
      </w:pPr>
      <w:r w:rsidRPr="00D11E00">
        <w:rPr>
          <w:rFonts w:ascii="Times New Roman" w:hAnsi="Times New Roman" w:cs="Times New Roman"/>
          <w:sz w:val="24"/>
          <w:szCs w:val="24"/>
        </w:rPr>
        <w:t>Real model risk monitoring data from Standard Chartered is confidential and subject to MAS data protection requirements. Synthetic data allows faithful representation of the statistical properties of the problem — particularly population distribution shift between training and live deployment — without requiring access to proprietary data. Synthetic data is explicitly permitted by the assignment brief.</w:t>
      </w:r>
    </w:p>
    <w:p w14:paraId="61BE92BD" w14:textId="77777777" w:rsidR="00E042EA" w:rsidRPr="00D11E00" w:rsidRDefault="00E042EA" w:rsidP="00D11E00">
      <w:pPr>
        <w:spacing w:after="40"/>
        <w:jc w:val="both"/>
        <w:rPr>
          <w:rFonts w:ascii="Times New Roman" w:hAnsi="Times New Roman" w:cs="Times New Roman"/>
          <w:sz w:val="24"/>
          <w:szCs w:val="24"/>
        </w:rPr>
      </w:pPr>
    </w:p>
    <w:p w14:paraId="671051EC" w14:textId="1717DB75" w:rsidR="00E042EA" w:rsidRPr="00D11E00" w:rsidRDefault="00E042EA" w:rsidP="00D11E00">
      <w:pPr>
        <w:spacing w:after="40"/>
        <w:jc w:val="both"/>
        <w:rPr>
          <w:rFonts w:ascii="Times New Roman" w:hAnsi="Times New Roman" w:cs="Times New Roman"/>
          <w:b/>
          <w:bCs/>
          <w:sz w:val="24"/>
          <w:szCs w:val="24"/>
        </w:rPr>
      </w:pPr>
      <w:r w:rsidRPr="00D11E00">
        <w:rPr>
          <w:rFonts w:ascii="Times New Roman" w:hAnsi="Times New Roman" w:cs="Times New Roman"/>
          <w:b/>
          <w:bCs/>
          <w:sz w:val="24"/>
          <w:szCs w:val="24"/>
        </w:rPr>
        <w:t>2.2</w:t>
      </w:r>
      <w:r w:rsidR="00D11E00" w:rsidRPr="00D11E00">
        <w:rPr>
          <w:rFonts w:ascii="Times New Roman" w:hAnsi="Times New Roman" w:cs="Times New Roman"/>
          <w:b/>
          <w:bCs/>
          <w:sz w:val="24"/>
          <w:szCs w:val="24"/>
        </w:rPr>
        <w:t xml:space="preserve"> </w:t>
      </w:r>
      <w:r w:rsidRPr="00D11E00">
        <w:rPr>
          <w:rFonts w:ascii="Times New Roman" w:hAnsi="Times New Roman" w:cs="Times New Roman"/>
          <w:b/>
          <w:bCs/>
          <w:sz w:val="24"/>
          <w:szCs w:val="24"/>
        </w:rPr>
        <w:t>The Two-Period Design</w:t>
      </w:r>
    </w:p>
    <w:p w14:paraId="20E963C5" w14:textId="7823AED6" w:rsidR="00655B8C" w:rsidRDefault="00E042EA" w:rsidP="00D11E00">
      <w:pPr>
        <w:spacing w:after="40"/>
        <w:jc w:val="both"/>
        <w:rPr>
          <w:rFonts w:ascii="Times New Roman" w:hAnsi="Times New Roman" w:cs="Times New Roman"/>
          <w:sz w:val="24"/>
          <w:szCs w:val="24"/>
        </w:rPr>
      </w:pPr>
      <w:r w:rsidRPr="00D11E00">
        <w:rPr>
          <w:rFonts w:ascii="Times New Roman" w:hAnsi="Times New Roman" w:cs="Times New Roman"/>
          <w:sz w:val="24"/>
          <w:szCs w:val="24"/>
        </w:rPr>
        <w:t xml:space="preserve">The datasets are designed around a two-period structure. The Training Period (2022–2023) represents a low-rate, benign credit environment. The Live Period (2025–2026) represents a post-rate-hike environment with higher base default rates, compressed incomes, and longer average loan tenures. This shift creates measurable distribution divergence — precisely the scenario </w:t>
      </w:r>
      <w:proofErr w:type="spellStart"/>
      <w:r w:rsidRPr="00D11E00">
        <w:rPr>
          <w:rFonts w:ascii="Times New Roman" w:hAnsi="Times New Roman" w:cs="Times New Roman"/>
          <w:sz w:val="24"/>
          <w:szCs w:val="24"/>
        </w:rPr>
        <w:t>VeridianMRM's</w:t>
      </w:r>
      <w:proofErr w:type="spellEnd"/>
      <w:r w:rsidRPr="00D11E00">
        <w:rPr>
          <w:rFonts w:ascii="Times New Roman" w:hAnsi="Times New Roman" w:cs="Times New Roman"/>
          <w:sz w:val="24"/>
          <w:szCs w:val="24"/>
        </w:rPr>
        <w:t xml:space="preserve"> PSI monitoring is designed to detect.</w:t>
      </w:r>
    </w:p>
    <w:p w14:paraId="4126B932" w14:textId="77777777" w:rsidR="00D11E00" w:rsidRPr="00D11E00" w:rsidRDefault="00D11E00" w:rsidP="00D11E00">
      <w:pPr>
        <w:spacing w:after="40"/>
        <w:jc w:val="both"/>
        <w:rPr>
          <w:rFonts w:ascii="Times New Roman" w:hAnsi="Times New Roman" w:cs="Times New Roman"/>
          <w:b/>
          <w:bCs/>
          <w:sz w:val="24"/>
          <w:szCs w:val="24"/>
        </w:rPr>
      </w:pPr>
    </w:p>
    <w:p w14:paraId="5206A871" w14:textId="094AC849" w:rsidR="00655B8C" w:rsidRPr="00D11E00" w:rsidRDefault="00E042EA" w:rsidP="00D11E00">
      <w:pPr>
        <w:spacing w:after="40"/>
        <w:jc w:val="both"/>
        <w:rPr>
          <w:rFonts w:ascii="Times New Roman" w:hAnsi="Times New Roman" w:cs="Times New Roman"/>
          <w:b/>
          <w:bCs/>
          <w:sz w:val="24"/>
          <w:szCs w:val="24"/>
        </w:rPr>
      </w:pPr>
      <w:r w:rsidRPr="00D11E00">
        <w:rPr>
          <w:rFonts w:ascii="Times New Roman" w:hAnsi="Times New Roman" w:cs="Times New Roman"/>
          <w:b/>
          <w:bCs/>
          <w:sz w:val="24"/>
          <w:szCs w:val="24"/>
        </w:rPr>
        <w:t>2.3 Feature Distributions</w:t>
      </w:r>
    </w:p>
    <w:tbl>
      <w:tblPr>
        <w:tblW w:w="9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126"/>
        <w:gridCol w:w="1985"/>
        <w:gridCol w:w="3474"/>
      </w:tblGrid>
      <w:tr w:rsidR="00D11E00" w:rsidRPr="00D11E00" w14:paraId="02CFDAE1" w14:textId="77777777" w:rsidTr="002569EF">
        <w:trPr>
          <w:trHeight w:val="267"/>
        </w:trPr>
        <w:tc>
          <w:tcPr>
            <w:tcW w:w="2409" w:type="dxa"/>
            <w:shd w:val="clear" w:color="auto" w:fill="1B3A6B"/>
            <w:tcMar>
              <w:top w:w="80" w:type="dxa"/>
              <w:left w:w="110" w:type="dxa"/>
              <w:bottom w:w="80" w:type="dxa"/>
              <w:right w:w="110" w:type="dxa"/>
            </w:tcMar>
          </w:tcPr>
          <w:p w14:paraId="6478E32C"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Feature</w:t>
            </w:r>
          </w:p>
        </w:tc>
        <w:tc>
          <w:tcPr>
            <w:tcW w:w="2126" w:type="dxa"/>
            <w:shd w:val="clear" w:color="auto" w:fill="1B3A6B"/>
            <w:tcMar>
              <w:top w:w="80" w:type="dxa"/>
              <w:left w:w="110" w:type="dxa"/>
              <w:bottom w:w="80" w:type="dxa"/>
              <w:right w:w="110" w:type="dxa"/>
            </w:tcMar>
          </w:tcPr>
          <w:p w14:paraId="0CAFECF3"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Training (2022–2023)</w:t>
            </w:r>
          </w:p>
        </w:tc>
        <w:tc>
          <w:tcPr>
            <w:tcW w:w="1985" w:type="dxa"/>
            <w:shd w:val="clear" w:color="auto" w:fill="1B3A6B"/>
            <w:tcMar>
              <w:top w:w="80" w:type="dxa"/>
              <w:left w:w="110" w:type="dxa"/>
              <w:bottom w:w="80" w:type="dxa"/>
              <w:right w:w="110" w:type="dxa"/>
            </w:tcMar>
          </w:tcPr>
          <w:p w14:paraId="5421D136"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Live (2025–2026)</w:t>
            </w:r>
          </w:p>
        </w:tc>
        <w:tc>
          <w:tcPr>
            <w:tcW w:w="3474" w:type="dxa"/>
            <w:shd w:val="clear" w:color="auto" w:fill="1B3A6B"/>
            <w:tcMar>
              <w:top w:w="80" w:type="dxa"/>
              <w:left w:w="110" w:type="dxa"/>
              <w:bottom w:w="80" w:type="dxa"/>
              <w:right w:w="110" w:type="dxa"/>
            </w:tcMar>
          </w:tcPr>
          <w:p w14:paraId="3063E188"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Source of Assumption</w:t>
            </w:r>
          </w:p>
        </w:tc>
      </w:tr>
      <w:tr w:rsidR="00D11E00" w:rsidRPr="00D11E00" w14:paraId="4DDF9470" w14:textId="77777777" w:rsidTr="002569EF">
        <w:trPr>
          <w:trHeight w:val="575"/>
        </w:trPr>
        <w:tc>
          <w:tcPr>
            <w:tcW w:w="2409" w:type="dxa"/>
            <w:shd w:val="clear" w:color="auto" w:fill="FFFFFF"/>
            <w:tcMar>
              <w:top w:w="60" w:type="dxa"/>
              <w:left w:w="110" w:type="dxa"/>
              <w:bottom w:w="60" w:type="dxa"/>
              <w:right w:w="110" w:type="dxa"/>
            </w:tcMar>
          </w:tcPr>
          <w:p w14:paraId="7B0C8D40"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Sample size</w:t>
            </w:r>
          </w:p>
        </w:tc>
        <w:tc>
          <w:tcPr>
            <w:tcW w:w="2126" w:type="dxa"/>
            <w:shd w:val="clear" w:color="auto" w:fill="FFFFFF"/>
            <w:tcMar>
              <w:top w:w="60" w:type="dxa"/>
              <w:left w:w="110" w:type="dxa"/>
              <w:bottom w:w="60" w:type="dxa"/>
              <w:right w:w="110" w:type="dxa"/>
            </w:tcMar>
          </w:tcPr>
          <w:p w14:paraId="2B93D434"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5,000</w:t>
            </w:r>
          </w:p>
        </w:tc>
        <w:tc>
          <w:tcPr>
            <w:tcW w:w="1985" w:type="dxa"/>
            <w:shd w:val="clear" w:color="auto" w:fill="FFFFFF"/>
            <w:tcMar>
              <w:top w:w="60" w:type="dxa"/>
              <w:left w:w="110" w:type="dxa"/>
              <w:bottom w:w="60" w:type="dxa"/>
              <w:right w:w="110" w:type="dxa"/>
            </w:tcMar>
          </w:tcPr>
          <w:p w14:paraId="61409459"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3,000</w:t>
            </w:r>
          </w:p>
        </w:tc>
        <w:tc>
          <w:tcPr>
            <w:tcW w:w="3474" w:type="dxa"/>
            <w:shd w:val="clear" w:color="auto" w:fill="FFFFFF"/>
            <w:tcMar>
              <w:top w:w="60" w:type="dxa"/>
              <w:left w:w="110" w:type="dxa"/>
              <w:bottom w:w="60" w:type="dxa"/>
              <w:right w:w="110" w:type="dxa"/>
            </w:tcMar>
          </w:tcPr>
          <w:p w14:paraId="058802C9"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Training datasets typically larger; live window is 18-month sample</w:t>
            </w:r>
          </w:p>
        </w:tc>
      </w:tr>
      <w:tr w:rsidR="00D11E00" w:rsidRPr="00D11E00" w14:paraId="582DBE67" w14:textId="77777777" w:rsidTr="002569EF">
        <w:trPr>
          <w:trHeight w:val="839"/>
        </w:trPr>
        <w:tc>
          <w:tcPr>
            <w:tcW w:w="2409" w:type="dxa"/>
            <w:shd w:val="clear" w:color="auto" w:fill="F5F5F5"/>
            <w:tcMar>
              <w:top w:w="60" w:type="dxa"/>
              <w:left w:w="110" w:type="dxa"/>
              <w:bottom w:w="60" w:type="dxa"/>
              <w:right w:w="110" w:type="dxa"/>
            </w:tcMar>
          </w:tcPr>
          <w:p w14:paraId="154E681A"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Annual income (SGD)</w:t>
            </w:r>
          </w:p>
        </w:tc>
        <w:tc>
          <w:tcPr>
            <w:tcW w:w="2126" w:type="dxa"/>
            <w:shd w:val="clear" w:color="auto" w:fill="F5F5F5"/>
            <w:tcMar>
              <w:top w:w="60" w:type="dxa"/>
              <w:left w:w="110" w:type="dxa"/>
              <w:bottom w:w="60" w:type="dxa"/>
              <w:right w:w="110" w:type="dxa"/>
            </w:tcMar>
          </w:tcPr>
          <w:p w14:paraId="7BFC77FF"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Log-Normal, median ~$49K</w:t>
            </w:r>
          </w:p>
        </w:tc>
        <w:tc>
          <w:tcPr>
            <w:tcW w:w="1985" w:type="dxa"/>
            <w:shd w:val="clear" w:color="auto" w:fill="F5F5F5"/>
            <w:tcMar>
              <w:top w:w="60" w:type="dxa"/>
              <w:left w:w="110" w:type="dxa"/>
              <w:bottom w:w="60" w:type="dxa"/>
              <w:right w:w="110" w:type="dxa"/>
            </w:tcMar>
          </w:tcPr>
          <w:p w14:paraId="1F946793"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Log-Normal, median ~$43K</w:t>
            </w:r>
          </w:p>
        </w:tc>
        <w:tc>
          <w:tcPr>
            <w:tcW w:w="3474" w:type="dxa"/>
            <w:shd w:val="clear" w:color="auto" w:fill="F5F5F5"/>
            <w:tcMar>
              <w:top w:w="60" w:type="dxa"/>
              <w:left w:w="110" w:type="dxa"/>
              <w:bottom w:w="60" w:type="dxa"/>
              <w:right w:w="110" w:type="dxa"/>
            </w:tcMar>
          </w:tcPr>
          <w:p w14:paraId="1B5648A6"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Post-inflation income compression; MAS CPI data 2024–2025</w:t>
            </w:r>
          </w:p>
        </w:tc>
      </w:tr>
      <w:tr w:rsidR="00D11E00" w:rsidRPr="00D11E00" w14:paraId="6587B2C1" w14:textId="77777777" w:rsidTr="002569EF">
        <w:trPr>
          <w:trHeight w:val="559"/>
        </w:trPr>
        <w:tc>
          <w:tcPr>
            <w:tcW w:w="2409" w:type="dxa"/>
            <w:shd w:val="clear" w:color="auto" w:fill="FFFFFF"/>
            <w:tcMar>
              <w:top w:w="60" w:type="dxa"/>
              <w:left w:w="110" w:type="dxa"/>
              <w:bottom w:w="60" w:type="dxa"/>
              <w:right w:w="110" w:type="dxa"/>
            </w:tcMar>
          </w:tcPr>
          <w:p w14:paraId="6DEE54CD"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Loan amount (SGD)</w:t>
            </w:r>
          </w:p>
        </w:tc>
        <w:tc>
          <w:tcPr>
            <w:tcW w:w="2126" w:type="dxa"/>
            <w:shd w:val="clear" w:color="auto" w:fill="FFFFFF"/>
            <w:tcMar>
              <w:top w:w="60" w:type="dxa"/>
              <w:left w:w="110" w:type="dxa"/>
              <w:bottom w:w="60" w:type="dxa"/>
              <w:right w:w="110" w:type="dxa"/>
            </w:tcMar>
          </w:tcPr>
          <w:p w14:paraId="6B381F13"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$5K–$150K uniform</w:t>
            </w:r>
          </w:p>
        </w:tc>
        <w:tc>
          <w:tcPr>
            <w:tcW w:w="1985" w:type="dxa"/>
            <w:shd w:val="clear" w:color="auto" w:fill="FFFFFF"/>
            <w:tcMar>
              <w:top w:w="60" w:type="dxa"/>
              <w:left w:w="110" w:type="dxa"/>
              <w:bottom w:w="60" w:type="dxa"/>
              <w:right w:w="110" w:type="dxa"/>
            </w:tcMar>
          </w:tcPr>
          <w:p w14:paraId="630D1D9A"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$8K–$180K uniform</w:t>
            </w:r>
          </w:p>
        </w:tc>
        <w:tc>
          <w:tcPr>
            <w:tcW w:w="3474" w:type="dxa"/>
            <w:shd w:val="clear" w:color="auto" w:fill="FFFFFF"/>
            <w:tcMar>
              <w:top w:w="60" w:type="dxa"/>
              <w:left w:w="110" w:type="dxa"/>
              <w:bottom w:w="60" w:type="dxa"/>
              <w:right w:w="110" w:type="dxa"/>
            </w:tcMar>
          </w:tcPr>
          <w:p w14:paraId="093586F9"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Higher borrowing needs in 2025–2026</w:t>
            </w:r>
          </w:p>
        </w:tc>
      </w:tr>
      <w:tr w:rsidR="00D11E00" w:rsidRPr="00D11E00" w14:paraId="3E7E133D" w14:textId="77777777" w:rsidTr="002569EF">
        <w:trPr>
          <w:trHeight w:val="559"/>
        </w:trPr>
        <w:tc>
          <w:tcPr>
            <w:tcW w:w="2409" w:type="dxa"/>
            <w:shd w:val="clear" w:color="auto" w:fill="F5F5F5"/>
            <w:tcMar>
              <w:top w:w="60" w:type="dxa"/>
              <w:left w:w="110" w:type="dxa"/>
              <w:bottom w:w="60" w:type="dxa"/>
              <w:right w:w="110" w:type="dxa"/>
            </w:tcMar>
          </w:tcPr>
          <w:p w14:paraId="21E18E13"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Employment: Unemployed</w:t>
            </w:r>
          </w:p>
        </w:tc>
        <w:tc>
          <w:tcPr>
            <w:tcW w:w="2126" w:type="dxa"/>
            <w:shd w:val="clear" w:color="auto" w:fill="F5F5F5"/>
            <w:tcMar>
              <w:top w:w="60" w:type="dxa"/>
              <w:left w:w="110" w:type="dxa"/>
              <w:bottom w:w="60" w:type="dxa"/>
              <w:right w:w="110" w:type="dxa"/>
            </w:tcMar>
          </w:tcPr>
          <w:p w14:paraId="65144152"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3%</w:t>
            </w:r>
          </w:p>
        </w:tc>
        <w:tc>
          <w:tcPr>
            <w:tcW w:w="1985" w:type="dxa"/>
            <w:shd w:val="clear" w:color="auto" w:fill="F5F5F5"/>
            <w:tcMar>
              <w:top w:w="60" w:type="dxa"/>
              <w:left w:w="110" w:type="dxa"/>
              <w:bottom w:w="60" w:type="dxa"/>
              <w:right w:w="110" w:type="dxa"/>
            </w:tcMar>
          </w:tcPr>
          <w:p w14:paraId="551ADF7F"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6%</w:t>
            </w:r>
          </w:p>
        </w:tc>
        <w:tc>
          <w:tcPr>
            <w:tcW w:w="3474" w:type="dxa"/>
            <w:shd w:val="clear" w:color="auto" w:fill="F5F5F5"/>
            <w:tcMar>
              <w:top w:w="60" w:type="dxa"/>
              <w:left w:w="110" w:type="dxa"/>
              <w:bottom w:w="60" w:type="dxa"/>
              <w:right w:w="110" w:type="dxa"/>
            </w:tcMar>
          </w:tcPr>
          <w:p w14:paraId="02FCFCE2"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Macro deterioration; SG unemployment data</w:t>
            </w:r>
          </w:p>
        </w:tc>
      </w:tr>
      <w:tr w:rsidR="00D11E00" w:rsidRPr="00D11E00" w14:paraId="71D2242E" w14:textId="77777777" w:rsidTr="002569EF">
        <w:trPr>
          <w:trHeight w:val="839"/>
        </w:trPr>
        <w:tc>
          <w:tcPr>
            <w:tcW w:w="2409" w:type="dxa"/>
            <w:shd w:val="clear" w:color="auto" w:fill="FFFFFF"/>
            <w:tcMar>
              <w:top w:w="60" w:type="dxa"/>
              <w:left w:w="110" w:type="dxa"/>
              <w:bottom w:w="60" w:type="dxa"/>
              <w:right w:w="110" w:type="dxa"/>
            </w:tcMar>
          </w:tcPr>
          <w:p w14:paraId="05B4DA4A"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Base default rate</w:t>
            </w:r>
          </w:p>
        </w:tc>
        <w:tc>
          <w:tcPr>
            <w:tcW w:w="2126" w:type="dxa"/>
            <w:shd w:val="clear" w:color="auto" w:fill="FFFFFF"/>
            <w:tcMar>
              <w:top w:w="60" w:type="dxa"/>
              <w:left w:w="110" w:type="dxa"/>
              <w:bottom w:w="60" w:type="dxa"/>
              <w:right w:w="110" w:type="dxa"/>
            </w:tcMar>
          </w:tcPr>
          <w:p w14:paraId="06270C2C"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~12%</w:t>
            </w:r>
          </w:p>
        </w:tc>
        <w:tc>
          <w:tcPr>
            <w:tcW w:w="1985" w:type="dxa"/>
            <w:shd w:val="clear" w:color="auto" w:fill="FFFFFF"/>
            <w:tcMar>
              <w:top w:w="60" w:type="dxa"/>
              <w:left w:w="110" w:type="dxa"/>
              <w:bottom w:w="60" w:type="dxa"/>
              <w:right w:w="110" w:type="dxa"/>
            </w:tcMar>
          </w:tcPr>
          <w:p w14:paraId="230AABCF"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~22%</w:t>
            </w:r>
          </w:p>
        </w:tc>
        <w:tc>
          <w:tcPr>
            <w:tcW w:w="3474" w:type="dxa"/>
            <w:shd w:val="clear" w:color="auto" w:fill="FFFFFF"/>
            <w:tcMar>
              <w:top w:w="60" w:type="dxa"/>
              <w:left w:w="110" w:type="dxa"/>
              <w:bottom w:w="60" w:type="dxa"/>
              <w:right w:w="110" w:type="dxa"/>
            </w:tcMar>
          </w:tcPr>
          <w:p w14:paraId="6B6DE409"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Singapore NPL ratio rose ~1.5% to ~2.8% (MAS FSR 2025 estimate)</w:t>
            </w:r>
          </w:p>
        </w:tc>
      </w:tr>
      <w:tr w:rsidR="00D11E00" w:rsidRPr="00D11E00" w14:paraId="2FF7A933" w14:textId="77777777" w:rsidTr="002569EF">
        <w:trPr>
          <w:trHeight w:val="559"/>
        </w:trPr>
        <w:tc>
          <w:tcPr>
            <w:tcW w:w="2409" w:type="dxa"/>
            <w:shd w:val="clear" w:color="auto" w:fill="F5F5F5"/>
            <w:tcMar>
              <w:top w:w="60" w:type="dxa"/>
              <w:left w:w="110" w:type="dxa"/>
              <w:bottom w:w="60" w:type="dxa"/>
              <w:right w:w="110" w:type="dxa"/>
            </w:tcMar>
          </w:tcPr>
          <w:p w14:paraId="25C2DCBE"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Model score noise</w:t>
            </w:r>
          </w:p>
        </w:tc>
        <w:tc>
          <w:tcPr>
            <w:tcW w:w="2126" w:type="dxa"/>
            <w:shd w:val="clear" w:color="auto" w:fill="F5F5F5"/>
            <w:tcMar>
              <w:top w:w="60" w:type="dxa"/>
              <w:left w:w="110" w:type="dxa"/>
              <w:bottom w:w="60" w:type="dxa"/>
              <w:right w:w="110" w:type="dxa"/>
            </w:tcMar>
          </w:tcPr>
          <w:p w14:paraId="3F9B2B62"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σ = 0.08</w:t>
            </w:r>
          </w:p>
        </w:tc>
        <w:tc>
          <w:tcPr>
            <w:tcW w:w="1985" w:type="dxa"/>
            <w:shd w:val="clear" w:color="auto" w:fill="F5F5F5"/>
            <w:tcMar>
              <w:top w:w="60" w:type="dxa"/>
              <w:left w:w="110" w:type="dxa"/>
              <w:bottom w:w="60" w:type="dxa"/>
              <w:right w:w="110" w:type="dxa"/>
            </w:tcMar>
          </w:tcPr>
          <w:p w14:paraId="3EDC1795"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σ = 0.09</w:t>
            </w:r>
          </w:p>
        </w:tc>
        <w:tc>
          <w:tcPr>
            <w:tcW w:w="3474" w:type="dxa"/>
            <w:shd w:val="clear" w:color="auto" w:fill="F5F5F5"/>
            <w:tcMar>
              <w:top w:w="60" w:type="dxa"/>
              <w:left w:w="110" w:type="dxa"/>
              <w:bottom w:w="60" w:type="dxa"/>
              <w:right w:w="110" w:type="dxa"/>
            </w:tcMar>
          </w:tcPr>
          <w:p w14:paraId="1C8185D3"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Slightly higher model uncertainty in live period</w:t>
            </w:r>
          </w:p>
        </w:tc>
      </w:tr>
      <w:tr w:rsidR="00D11E00" w:rsidRPr="00D11E00" w14:paraId="4B3361FA" w14:textId="77777777" w:rsidTr="002569EF">
        <w:trPr>
          <w:trHeight w:val="571"/>
        </w:trPr>
        <w:tc>
          <w:tcPr>
            <w:tcW w:w="2409" w:type="dxa"/>
            <w:shd w:val="clear" w:color="auto" w:fill="FFFFFF"/>
            <w:tcMar>
              <w:top w:w="60" w:type="dxa"/>
              <w:left w:w="110" w:type="dxa"/>
              <w:bottom w:w="60" w:type="dxa"/>
              <w:right w:w="110" w:type="dxa"/>
            </w:tcMar>
          </w:tcPr>
          <w:p w14:paraId="4B22D02F"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Demographic split</w:t>
            </w:r>
          </w:p>
        </w:tc>
        <w:tc>
          <w:tcPr>
            <w:tcW w:w="2126" w:type="dxa"/>
            <w:shd w:val="clear" w:color="auto" w:fill="FFFFFF"/>
            <w:tcMar>
              <w:top w:w="60" w:type="dxa"/>
              <w:left w:w="110" w:type="dxa"/>
              <w:bottom w:w="60" w:type="dxa"/>
              <w:right w:w="110" w:type="dxa"/>
            </w:tcMar>
          </w:tcPr>
          <w:p w14:paraId="11997FEE"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F: 46%, Chinese: 74%</w:t>
            </w:r>
          </w:p>
        </w:tc>
        <w:tc>
          <w:tcPr>
            <w:tcW w:w="1985" w:type="dxa"/>
            <w:shd w:val="clear" w:color="auto" w:fill="FFFFFF"/>
            <w:tcMar>
              <w:top w:w="60" w:type="dxa"/>
              <w:left w:w="110" w:type="dxa"/>
              <w:bottom w:w="60" w:type="dxa"/>
              <w:right w:w="110" w:type="dxa"/>
            </w:tcMar>
          </w:tcPr>
          <w:p w14:paraId="48CD93AB"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Same</w:t>
            </w:r>
          </w:p>
        </w:tc>
        <w:tc>
          <w:tcPr>
            <w:tcW w:w="3474" w:type="dxa"/>
            <w:shd w:val="clear" w:color="auto" w:fill="FFFFFF"/>
            <w:tcMar>
              <w:top w:w="60" w:type="dxa"/>
              <w:left w:w="110" w:type="dxa"/>
              <w:bottom w:w="60" w:type="dxa"/>
              <w:right w:w="110" w:type="dxa"/>
            </w:tcMar>
          </w:tcPr>
          <w:p w14:paraId="11A6E888"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sz w:val="24"/>
                <w:szCs w:val="24"/>
              </w:rPr>
              <w:t>Stable population composition assumed</w:t>
            </w:r>
          </w:p>
        </w:tc>
      </w:tr>
    </w:tbl>
    <w:p w14:paraId="58DDEC37" w14:textId="6624AF0A" w:rsidR="00E042EA" w:rsidRPr="00D11E00" w:rsidRDefault="00E042EA" w:rsidP="00D11E00">
      <w:pPr>
        <w:widowControl/>
        <w:jc w:val="both"/>
        <w:rPr>
          <w:rFonts w:ascii="Times New Roman" w:eastAsia="Arial" w:hAnsi="Times New Roman" w:cs="Times New Roman"/>
          <w:b/>
          <w:bCs/>
          <w:sz w:val="24"/>
          <w:szCs w:val="24"/>
        </w:rPr>
      </w:pPr>
    </w:p>
    <w:p w14:paraId="285BFA56" w14:textId="77777777" w:rsidR="00E042EA" w:rsidRPr="00D11E00" w:rsidRDefault="00E042EA" w:rsidP="00D11E00">
      <w:pPr>
        <w:widowControl/>
        <w:jc w:val="both"/>
        <w:rPr>
          <w:rFonts w:ascii="Times New Roman" w:eastAsia="Arial" w:hAnsi="Times New Roman" w:cs="Times New Roman"/>
          <w:b/>
          <w:bCs/>
          <w:sz w:val="24"/>
          <w:szCs w:val="24"/>
        </w:rPr>
      </w:pPr>
      <w:r w:rsidRPr="00D11E00">
        <w:rPr>
          <w:rFonts w:ascii="Times New Roman" w:eastAsia="Arial" w:hAnsi="Times New Roman" w:cs="Times New Roman"/>
          <w:b/>
          <w:bCs/>
          <w:sz w:val="24"/>
          <w:szCs w:val="24"/>
        </w:rPr>
        <w:br w:type="page"/>
      </w:r>
    </w:p>
    <w:p w14:paraId="068C17FF" w14:textId="1F420DCC" w:rsidR="00453D1C" w:rsidRPr="00453D1C" w:rsidRDefault="00453D1C" w:rsidP="00453D1C">
      <w:pPr>
        <w:widowControl/>
        <w:jc w:val="both"/>
        <w:rPr>
          <w:rFonts w:ascii="Times New Roman" w:hAnsi="Times New Roman" w:cs="Times New Roman"/>
          <w:b/>
          <w:bCs/>
          <w:sz w:val="24"/>
          <w:szCs w:val="24"/>
        </w:rPr>
      </w:pPr>
      <w:r w:rsidRPr="00453D1C">
        <w:rPr>
          <w:rFonts w:ascii="Times New Roman" w:hAnsi="Times New Roman" w:cs="Times New Roman"/>
          <w:b/>
          <w:bCs/>
          <w:sz w:val="24"/>
          <w:szCs w:val="24"/>
        </w:rPr>
        <w:lastRenderedPageBreak/>
        <w:t>3 Quantitative Metrics and Threshold Methodology</w:t>
      </w:r>
    </w:p>
    <w:p w14:paraId="40773A93" w14:textId="3BE76B36" w:rsidR="00453D1C" w:rsidRDefault="00453D1C" w:rsidP="00453D1C">
      <w:pPr>
        <w:widowControl/>
        <w:jc w:val="both"/>
        <w:rPr>
          <w:rFonts w:ascii="Times New Roman" w:hAnsi="Times New Roman" w:cs="Times New Roman"/>
          <w:sz w:val="24"/>
          <w:szCs w:val="24"/>
        </w:rPr>
      </w:pPr>
      <w:proofErr w:type="spellStart"/>
      <w:r w:rsidRPr="00453D1C">
        <w:rPr>
          <w:rFonts w:ascii="Times New Roman" w:hAnsi="Times New Roman" w:cs="Times New Roman"/>
          <w:sz w:val="24"/>
          <w:szCs w:val="24"/>
        </w:rPr>
        <w:t>VeridianMRM</w:t>
      </w:r>
      <w:proofErr w:type="spellEnd"/>
      <w:r w:rsidRPr="00453D1C">
        <w:rPr>
          <w:rFonts w:ascii="Times New Roman" w:hAnsi="Times New Roman" w:cs="Times New Roman"/>
          <w:sz w:val="24"/>
          <w:szCs w:val="24"/>
        </w:rPr>
        <w:t xml:space="preserve"> monitors three specific metrics, each with jurisdiction</w:t>
      </w:r>
      <w:r w:rsidRPr="00453D1C">
        <w:rPr>
          <w:rFonts w:ascii="Times New Roman" w:hAnsi="Times New Roman" w:cs="Times New Roman"/>
          <w:sz w:val="24"/>
          <w:szCs w:val="24"/>
        </w:rPr>
        <w:noBreakHyphen/>
        <w:t>aware thresholds.</w:t>
      </w:r>
    </w:p>
    <w:p w14:paraId="44D30E72" w14:textId="77777777" w:rsidR="00453D1C" w:rsidRPr="00453D1C" w:rsidRDefault="00453D1C" w:rsidP="00453D1C">
      <w:pPr>
        <w:widowControl/>
        <w:jc w:val="both"/>
        <w:rPr>
          <w:rFonts w:ascii="Times New Roman" w:hAnsi="Times New Roman" w:cs="Times New Roman"/>
          <w:sz w:val="24"/>
          <w:szCs w:val="24"/>
        </w:rPr>
      </w:pPr>
    </w:p>
    <w:p w14:paraId="1DA4C188" w14:textId="4D75EFA4" w:rsidR="00453D1C" w:rsidRPr="00453D1C" w:rsidRDefault="00453D1C" w:rsidP="00453D1C">
      <w:pPr>
        <w:widowControl/>
        <w:jc w:val="both"/>
        <w:rPr>
          <w:rFonts w:ascii="Times New Roman" w:hAnsi="Times New Roman" w:cs="Times New Roman"/>
          <w:b/>
          <w:bCs/>
          <w:sz w:val="24"/>
          <w:szCs w:val="24"/>
        </w:rPr>
      </w:pPr>
      <w:r w:rsidRPr="00453D1C">
        <w:rPr>
          <w:rFonts w:ascii="Times New Roman" w:hAnsi="Times New Roman" w:cs="Times New Roman"/>
          <w:b/>
          <w:bCs/>
          <w:sz w:val="24"/>
          <w:szCs w:val="24"/>
        </w:rPr>
        <w:t>3.1 Metric 1: Population Stability Index (PSI)</w:t>
      </w:r>
    </w:p>
    <w:p w14:paraId="54A147E9" w14:textId="30CD5F32" w:rsidR="00453D1C" w:rsidRPr="00453D1C" w:rsidRDefault="00453D1C" w:rsidP="00453D1C">
      <w:pPr>
        <w:widowControl/>
        <w:jc w:val="both"/>
        <w:rPr>
          <w:rFonts w:ascii="Times New Roman" w:hAnsi="Times New Roman" w:cs="Times New Roman"/>
          <w:sz w:val="24"/>
          <w:szCs w:val="24"/>
        </w:rPr>
      </w:pPr>
      <w:r w:rsidRPr="00453D1C">
        <w:rPr>
          <w:rFonts w:ascii="Times New Roman" w:hAnsi="Times New Roman" w:cs="Times New Roman"/>
          <w:sz w:val="24"/>
          <w:szCs w:val="24"/>
        </w:rPr>
        <w:t>PSI measures the shift in model score distribution between training and live populations.</w:t>
      </w:r>
      <w:r>
        <w:rPr>
          <w:rFonts w:ascii="Times New Roman" w:hAnsi="Times New Roman" w:cs="Times New Roman" w:hint="eastAsia"/>
          <w:sz w:val="24"/>
          <w:szCs w:val="24"/>
        </w:rPr>
        <w:t xml:space="preserve"> </w:t>
      </w:r>
      <w:r w:rsidRPr="00453D1C">
        <w:rPr>
          <w:rFonts w:ascii="Times New Roman" w:hAnsi="Times New Roman" w:cs="Times New Roman"/>
          <w:sz w:val="24"/>
          <w:szCs w:val="24"/>
        </w:rPr>
        <w:t xml:space="preserve">Formula: PSI = Σ (Actual% − Expected%) × </w:t>
      </w:r>
      <w:proofErr w:type="gramStart"/>
      <w:r w:rsidRPr="00453D1C">
        <w:rPr>
          <w:rFonts w:ascii="Times New Roman" w:hAnsi="Times New Roman" w:cs="Times New Roman"/>
          <w:sz w:val="24"/>
          <w:szCs w:val="24"/>
        </w:rPr>
        <w:t>ln(</w:t>
      </w:r>
      <w:proofErr w:type="gramEnd"/>
      <w:r w:rsidRPr="00453D1C">
        <w:rPr>
          <w:rFonts w:ascii="Times New Roman" w:hAnsi="Times New Roman" w:cs="Times New Roman"/>
          <w:sz w:val="24"/>
          <w:szCs w:val="24"/>
        </w:rPr>
        <w:t>Actual% / Expected%) across 10 equal</w:t>
      </w:r>
      <w:r w:rsidRPr="00453D1C">
        <w:rPr>
          <w:rFonts w:ascii="Times New Roman" w:hAnsi="Times New Roman" w:cs="Times New Roman"/>
          <w:sz w:val="24"/>
          <w:szCs w:val="24"/>
        </w:rPr>
        <w:noBreakHyphen/>
        <w:t>frequency buckets of the training score distribution.</w:t>
      </w:r>
    </w:p>
    <w:p w14:paraId="4A5096C0" w14:textId="0C1100A7" w:rsidR="00453D1C" w:rsidRPr="00453D1C" w:rsidRDefault="00453D1C" w:rsidP="00453D1C">
      <w:pPr>
        <w:widowControl/>
        <w:jc w:val="both"/>
        <w:rPr>
          <w:rFonts w:ascii="Times New Roman" w:hAnsi="Times New Roman" w:cs="Times New Roman"/>
          <w:sz w:val="24"/>
          <w:szCs w:val="24"/>
        </w:rPr>
      </w:pPr>
      <w:r w:rsidRPr="00453D1C">
        <w:rPr>
          <w:rFonts w:ascii="Times New Roman" w:hAnsi="Times New Roman" w:cs="Times New Roman"/>
          <w:sz w:val="24"/>
          <w:szCs w:val="24"/>
        </w:rPr>
        <w:t>Threshold Methodology</w:t>
      </w:r>
      <w:r>
        <w:rPr>
          <w:rFonts w:ascii="Times New Roman" w:hAnsi="Times New Roman" w:cs="Times New Roman" w:hint="eastAsia"/>
          <w:sz w:val="24"/>
          <w:szCs w:val="24"/>
        </w:rPr>
        <w:t xml:space="preserve">: </w:t>
      </w:r>
      <w:r w:rsidRPr="00453D1C">
        <w:rPr>
          <w:rFonts w:ascii="Times New Roman" w:hAnsi="Times New Roman" w:cs="Times New Roman"/>
          <w:sz w:val="24"/>
          <w:szCs w:val="24"/>
        </w:rPr>
        <w:t>Standard industry interpretation: &lt;0.10 = stable, 0.10–0.20 = monitor, &gt;0.20 = revalidate. However, OCC 2026</w:t>
      </w:r>
      <w:r w:rsidRPr="00453D1C">
        <w:rPr>
          <w:rFonts w:ascii="Times New Roman" w:hAnsi="Times New Roman" w:cs="Times New Roman"/>
          <w:sz w:val="24"/>
          <w:szCs w:val="24"/>
        </w:rPr>
        <w:noBreakHyphen/>
        <w:t>13 and MAS 2024 AI MRM specify different critical thresholds: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2367"/>
        <w:gridCol w:w="2268"/>
        <w:gridCol w:w="3838"/>
      </w:tblGrid>
      <w:tr w:rsidR="00453D1C" w:rsidRPr="00453D1C" w14:paraId="445A1499" w14:textId="77777777" w:rsidTr="00453D1C">
        <w:trPr>
          <w:tblHeader/>
        </w:trPr>
        <w:tc>
          <w:tcPr>
            <w:tcW w:w="0" w:type="auto"/>
            <w:shd w:val="clear" w:color="auto" w:fill="1F3864" w:themeFill="accent1" w:themeFillShade="80"/>
            <w:tcMar>
              <w:top w:w="150" w:type="dxa"/>
              <w:left w:w="0" w:type="dxa"/>
              <w:bottom w:w="150" w:type="dxa"/>
              <w:right w:w="240" w:type="dxa"/>
            </w:tcMar>
            <w:vAlign w:val="center"/>
            <w:hideMark/>
          </w:tcPr>
          <w:p w14:paraId="10B42D2D"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Jurisdiction</w:t>
            </w:r>
          </w:p>
        </w:tc>
        <w:tc>
          <w:tcPr>
            <w:tcW w:w="2367" w:type="dxa"/>
            <w:shd w:val="clear" w:color="auto" w:fill="1F3864" w:themeFill="accent1" w:themeFillShade="80"/>
            <w:tcMar>
              <w:top w:w="150" w:type="dxa"/>
              <w:left w:w="240" w:type="dxa"/>
              <w:bottom w:w="150" w:type="dxa"/>
              <w:right w:w="240" w:type="dxa"/>
            </w:tcMar>
            <w:vAlign w:val="center"/>
            <w:hideMark/>
          </w:tcPr>
          <w:p w14:paraId="6B35E0A0"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Warning Threshold (Yellow)</w:t>
            </w:r>
          </w:p>
        </w:tc>
        <w:tc>
          <w:tcPr>
            <w:tcW w:w="2268" w:type="dxa"/>
            <w:shd w:val="clear" w:color="auto" w:fill="1F3864" w:themeFill="accent1" w:themeFillShade="80"/>
            <w:tcMar>
              <w:top w:w="150" w:type="dxa"/>
              <w:left w:w="240" w:type="dxa"/>
              <w:bottom w:w="150" w:type="dxa"/>
              <w:right w:w="240" w:type="dxa"/>
            </w:tcMar>
            <w:vAlign w:val="center"/>
            <w:hideMark/>
          </w:tcPr>
          <w:p w14:paraId="0CF74CB2"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Critical Threshold (Red)</w:t>
            </w:r>
          </w:p>
        </w:tc>
        <w:tc>
          <w:tcPr>
            <w:tcW w:w="3838" w:type="dxa"/>
            <w:shd w:val="clear" w:color="auto" w:fill="1F3864" w:themeFill="accent1" w:themeFillShade="80"/>
            <w:tcMar>
              <w:top w:w="150" w:type="dxa"/>
              <w:left w:w="240" w:type="dxa"/>
              <w:bottom w:w="150" w:type="dxa"/>
              <w:right w:w="240" w:type="dxa"/>
            </w:tcMar>
            <w:vAlign w:val="center"/>
            <w:hideMark/>
          </w:tcPr>
          <w:p w14:paraId="0645F1CE"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Regulatory Basis</w:t>
            </w:r>
          </w:p>
        </w:tc>
      </w:tr>
      <w:tr w:rsidR="00453D1C" w:rsidRPr="00453D1C" w14:paraId="7B0A5271" w14:textId="77777777" w:rsidTr="00453D1C">
        <w:tc>
          <w:tcPr>
            <w:tcW w:w="0" w:type="auto"/>
            <w:tcMar>
              <w:top w:w="150" w:type="dxa"/>
              <w:left w:w="0" w:type="dxa"/>
              <w:bottom w:w="150" w:type="dxa"/>
              <w:right w:w="240" w:type="dxa"/>
            </w:tcMar>
            <w:vAlign w:val="center"/>
            <w:hideMark/>
          </w:tcPr>
          <w:p w14:paraId="4ED5043A"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OCC (US)</w:t>
            </w:r>
          </w:p>
        </w:tc>
        <w:tc>
          <w:tcPr>
            <w:tcW w:w="2367" w:type="dxa"/>
            <w:tcMar>
              <w:top w:w="150" w:type="dxa"/>
              <w:left w:w="240" w:type="dxa"/>
              <w:bottom w:w="150" w:type="dxa"/>
              <w:right w:w="240" w:type="dxa"/>
            </w:tcMar>
            <w:vAlign w:val="center"/>
            <w:hideMark/>
          </w:tcPr>
          <w:p w14:paraId="5D100C52"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0.15</w:t>
            </w:r>
          </w:p>
        </w:tc>
        <w:tc>
          <w:tcPr>
            <w:tcW w:w="2268" w:type="dxa"/>
            <w:tcMar>
              <w:top w:w="150" w:type="dxa"/>
              <w:left w:w="240" w:type="dxa"/>
              <w:bottom w:w="150" w:type="dxa"/>
              <w:right w:w="240" w:type="dxa"/>
            </w:tcMar>
            <w:vAlign w:val="center"/>
            <w:hideMark/>
          </w:tcPr>
          <w:p w14:paraId="4BB58B2B"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0.25</w:t>
            </w:r>
          </w:p>
        </w:tc>
        <w:tc>
          <w:tcPr>
            <w:tcW w:w="3838" w:type="dxa"/>
            <w:tcMar>
              <w:top w:w="150" w:type="dxa"/>
              <w:left w:w="240" w:type="dxa"/>
              <w:bottom w:w="150" w:type="dxa"/>
              <w:right w:w="0" w:type="dxa"/>
            </w:tcMar>
            <w:vAlign w:val="center"/>
            <w:hideMark/>
          </w:tcPr>
          <w:p w14:paraId="0EA8C13F"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OCC Bulletin 2026</w:t>
            </w:r>
            <w:r w:rsidRPr="00453D1C">
              <w:rPr>
                <w:rFonts w:ascii="Times New Roman" w:hAnsi="Times New Roman" w:cs="Times New Roman"/>
                <w:sz w:val="24"/>
                <w:szCs w:val="24"/>
              </w:rPr>
              <w:noBreakHyphen/>
              <w:t>13, MRM guidance</w:t>
            </w:r>
          </w:p>
        </w:tc>
      </w:tr>
      <w:tr w:rsidR="00453D1C" w:rsidRPr="00453D1C" w14:paraId="59BCFB40" w14:textId="77777777" w:rsidTr="00453D1C">
        <w:tc>
          <w:tcPr>
            <w:tcW w:w="0" w:type="auto"/>
            <w:shd w:val="clear" w:color="auto" w:fill="F2F2F2" w:themeFill="background1" w:themeFillShade="F2"/>
            <w:tcMar>
              <w:top w:w="150" w:type="dxa"/>
              <w:left w:w="0" w:type="dxa"/>
              <w:bottom w:w="150" w:type="dxa"/>
              <w:right w:w="240" w:type="dxa"/>
            </w:tcMar>
            <w:vAlign w:val="center"/>
            <w:hideMark/>
          </w:tcPr>
          <w:p w14:paraId="5609C0F8"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MAS (Singapore)</w:t>
            </w:r>
          </w:p>
        </w:tc>
        <w:tc>
          <w:tcPr>
            <w:tcW w:w="2367" w:type="dxa"/>
            <w:shd w:val="clear" w:color="auto" w:fill="F2F2F2" w:themeFill="background1" w:themeFillShade="F2"/>
            <w:tcMar>
              <w:top w:w="150" w:type="dxa"/>
              <w:left w:w="240" w:type="dxa"/>
              <w:bottom w:w="150" w:type="dxa"/>
              <w:right w:w="240" w:type="dxa"/>
            </w:tcMar>
            <w:vAlign w:val="center"/>
            <w:hideMark/>
          </w:tcPr>
          <w:p w14:paraId="4F3CD71D"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0.10</w:t>
            </w:r>
          </w:p>
        </w:tc>
        <w:tc>
          <w:tcPr>
            <w:tcW w:w="2268" w:type="dxa"/>
            <w:shd w:val="clear" w:color="auto" w:fill="F2F2F2" w:themeFill="background1" w:themeFillShade="F2"/>
            <w:tcMar>
              <w:top w:w="150" w:type="dxa"/>
              <w:left w:w="240" w:type="dxa"/>
              <w:bottom w:w="150" w:type="dxa"/>
              <w:right w:w="240" w:type="dxa"/>
            </w:tcMar>
            <w:vAlign w:val="center"/>
            <w:hideMark/>
          </w:tcPr>
          <w:p w14:paraId="6C155863"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0.20</w:t>
            </w:r>
          </w:p>
        </w:tc>
        <w:tc>
          <w:tcPr>
            <w:tcW w:w="3838" w:type="dxa"/>
            <w:shd w:val="clear" w:color="auto" w:fill="F2F2F2" w:themeFill="background1" w:themeFillShade="F2"/>
            <w:tcMar>
              <w:top w:w="150" w:type="dxa"/>
              <w:left w:w="240" w:type="dxa"/>
              <w:bottom w:w="150" w:type="dxa"/>
              <w:right w:w="0" w:type="dxa"/>
            </w:tcMar>
            <w:vAlign w:val="center"/>
            <w:hideMark/>
          </w:tcPr>
          <w:p w14:paraId="09ECBA8A"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MAS 2024 AI MRM Guidelines, stricter due to higher consumer protection expectations</w:t>
            </w:r>
          </w:p>
        </w:tc>
      </w:tr>
    </w:tbl>
    <w:p w14:paraId="41FFAC27" w14:textId="27F08F0A" w:rsidR="00453D1C" w:rsidRDefault="00453D1C" w:rsidP="00453D1C">
      <w:pPr>
        <w:widowControl/>
        <w:jc w:val="both"/>
        <w:rPr>
          <w:rFonts w:ascii="Times New Roman" w:hAnsi="Times New Roman" w:cs="Times New Roman"/>
          <w:sz w:val="24"/>
          <w:szCs w:val="24"/>
        </w:rPr>
      </w:pPr>
      <w:r w:rsidRPr="00453D1C">
        <w:rPr>
          <w:rFonts w:ascii="Times New Roman" w:hAnsi="Times New Roman" w:cs="Times New Roman"/>
          <w:sz w:val="24"/>
          <w:szCs w:val="24"/>
        </w:rPr>
        <w:t>MAS explicitly requires earlier detection of model drift because Singapore’s retail banking market has a higher concentration of unsecured consumer credit. The 0.10 warning threshold forces banks to investigate distribution shifts before they materially affect approval decisions. OCC’s higher threshold (0.15) reflects a more risk</w:t>
      </w:r>
      <w:r w:rsidRPr="00453D1C">
        <w:rPr>
          <w:rFonts w:ascii="Times New Roman" w:hAnsi="Times New Roman" w:cs="Times New Roman"/>
          <w:sz w:val="24"/>
          <w:szCs w:val="24"/>
        </w:rPr>
        <w:noBreakHyphen/>
        <w:t>tolerant approach, allowing moderate drift without immediate regulatory action.</w:t>
      </w:r>
    </w:p>
    <w:p w14:paraId="3669165B" w14:textId="77777777" w:rsidR="00453D1C" w:rsidRPr="00453D1C" w:rsidRDefault="00453D1C" w:rsidP="00453D1C">
      <w:pPr>
        <w:widowControl/>
        <w:jc w:val="both"/>
        <w:rPr>
          <w:rFonts w:ascii="Times New Roman" w:hAnsi="Times New Roman" w:cs="Times New Roman"/>
          <w:sz w:val="24"/>
          <w:szCs w:val="24"/>
        </w:rPr>
      </w:pPr>
    </w:p>
    <w:p w14:paraId="636EC807" w14:textId="77777777" w:rsidR="00453D1C" w:rsidRDefault="00453D1C" w:rsidP="00453D1C">
      <w:pPr>
        <w:widowControl/>
        <w:jc w:val="both"/>
        <w:rPr>
          <w:rFonts w:ascii="Times New Roman" w:hAnsi="Times New Roman" w:cs="Times New Roman"/>
          <w:sz w:val="24"/>
          <w:szCs w:val="24"/>
        </w:rPr>
      </w:pPr>
      <w:r w:rsidRPr="00453D1C">
        <w:rPr>
          <w:rFonts w:ascii="Times New Roman" w:hAnsi="Times New Roman" w:cs="Times New Roman"/>
          <w:b/>
          <w:bCs/>
          <w:sz w:val="24"/>
          <w:szCs w:val="24"/>
        </w:rPr>
        <w:t>3.2 Metric 2: AUC Degradation</w:t>
      </w:r>
    </w:p>
    <w:p w14:paraId="1F2BD255" w14:textId="6D8005E3" w:rsidR="00453D1C" w:rsidRPr="00453D1C" w:rsidRDefault="00453D1C" w:rsidP="00453D1C">
      <w:pPr>
        <w:widowControl/>
        <w:jc w:val="both"/>
        <w:rPr>
          <w:rFonts w:ascii="Times New Roman" w:hAnsi="Times New Roman" w:cs="Times New Roman"/>
          <w:b/>
          <w:bCs/>
          <w:sz w:val="24"/>
          <w:szCs w:val="24"/>
        </w:rPr>
      </w:pPr>
      <w:r w:rsidRPr="00453D1C">
        <w:rPr>
          <w:rFonts w:ascii="Times New Roman" w:hAnsi="Times New Roman" w:cs="Times New Roman"/>
          <w:sz w:val="24"/>
          <w:szCs w:val="24"/>
        </w:rPr>
        <w:t>AUC (Area Under the ROC Curve) measures model discriminative power. Degradation is calculated as (</w:t>
      </w:r>
      <w:proofErr w:type="spellStart"/>
      <w:r w:rsidRPr="00453D1C">
        <w:rPr>
          <w:rFonts w:ascii="Times New Roman" w:hAnsi="Times New Roman" w:cs="Times New Roman"/>
          <w:sz w:val="24"/>
          <w:szCs w:val="24"/>
        </w:rPr>
        <w:t>AUC_train</w:t>
      </w:r>
      <w:proofErr w:type="spellEnd"/>
      <w:r w:rsidRPr="00453D1C">
        <w:rPr>
          <w:rFonts w:ascii="Times New Roman" w:hAnsi="Times New Roman" w:cs="Times New Roman"/>
          <w:sz w:val="24"/>
          <w:szCs w:val="24"/>
        </w:rPr>
        <w:t xml:space="preserve"> − </w:t>
      </w:r>
      <w:proofErr w:type="spellStart"/>
      <w:r w:rsidRPr="00453D1C">
        <w:rPr>
          <w:rFonts w:ascii="Times New Roman" w:hAnsi="Times New Roman" w:cs="Times New Roman"/>
          <w:sz w:val="24"/>
          <w:szCs w:val="24"/>
        </w:rPr>
        <w:t>AUC_live</w:t>
      </w:r>
      <w:proofErr w:type="spellEnd"/>
      <w:r w:rsidRPr="00453D1C">
        <w:rPr>
          <w:rFonts w:ascii="Times New Roman" w:hAnsi="Times New Roman" w:cs="Times New Roman"/>
          <w:sz w:val="24"/>
          <w:szCs w:val="24"/>
        </w:rPr>
        <w:t xml:space="preserve">) / </w:t>
      </w:r>
      <w:proofErr w:type="spellStart"/>
      <w:r w:rsidRPr="00453D1C">
        <w:rPr>
          <w:rFonts w:ascii="Times New Roman" w:hAnsi="Times New Roman" w:cs="Times New Roman"/>
          <w:sz w:val="24"/>
          <w:szCs w:val="24"/>
        </w:rPr>
        <w:t>AUC_train</w:t>
      </w:r>
      <w:proofErr w:type="spellEnd"/>
      <w:r w:rsidRPr="00453D1C">
        <w:rPr>
          <w:rFonts w:ascii="Times New Roman" w:hAnsi="Times New Roman" w:cs="Times New Roman"/>
          <w:sz w:val="24"/>
          <w:szCs w:val="24"/>
        </w:rPr>
        <w:t xml:space="preserve"> × 100%.</w:t>
      </w:r>
    </w:p>
    <w:p w14:paraId="6F30C4B1" w14:textId="50707916" w:rsidR="00453D1C" w:rsidRPr="00D618CF" w:rsidRDefault="00453D1C" w:rsidP="00453D1C">
      <w:pPr>
        <w:widowControl/>
        <w:jc w:val="both"/>
        <w:rPr>
          <w:rFonts w:ascii="Times New Roman" w:hAnsi="Times New Roman" w:cs="Times New Roman"/>
          <w:sz w:val="24"/>
          <w:szCs w:val="24"/>
        </w:rPr>
      </w:pPr>
      <w:r w:rsidRPr="00453D1C">
        <w:rPr>
          <w:rFonts w:ascii="Times New Roman" w:hAnsi="Times New Roman" w:cs="Times New Roman"/>
          <w:sz w:val="24"/>
          <w:szCs w:val="24"/>
        </w:rPr>
        <w:t>Threshold Methodology</w:t>
      </w:r>
      <w:r>
        <w:rPr>
          <w:rFonts w:ascii="Times New Roman" w:hAnsi="Times New Roman" w:cs="Times New Roman" w:hint="eastAsia"/>
          <w:sz w:val="24"/>
          <w:szCs w:val="24"/>
        </w:rPr>
        <w:t xml:space="preserve">: </w:t>
      </w:r>
      <w:r w:rsidR="00D618CF" w:rsidRPr="00D618CF">
        <w:rPr>
          <w:rFonts w:ascii="Times New Roman" w:hAnsi="Times New Roman" w:cs="Times New Roman"/>
          <w:sz w:val="24"/>
          <w:szCs w:val="24"/>
        </w:rPr>
        <w:t>Both OCC and MAS use the same warning threshold (≥5%) but different critical thresholds:</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7"/>
        <w:gridCol w:w="3691"/>
        <w:gridCol w:w="3737"/>
      </w:tblGrid>
      <w:tr w:rsidR="00453D1C" w:rsidRPr="00453D1C" w14:paraId="15AB28EA" w14:textId="77777777" w:rsidTr="00453D1C">
        <w:trPr>
          <w:trHeight w:val="262"/>
          <w:tblHeader/>
        </w:trPr>
        <w:tc>
          <w:tcPr>
            <w:tcW w:w="0" w:type="auto"/>
            <w:shd w:val="clear" w:color="auto" w:fill="1F3864" w:themeFill="accent1" w:themeFillShade="80"/>
            <w:tcMar>
              <w:top w:w="150" w:type="dxa"/>
              <w:left w:w="0" w:type="dxa"/>
              <w:bottom w:w="150" w:type="dxa"/>
              <w:right w:w="240" w:type="dxa"/>
            </w:tcMar>
            <w:vAlign w:val="center"/>
            <w:hideMark/>
          </w:tcPr>
          <w:p w14:paraId="3CF6B4E2"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Severity</w:t>
            </w:r>
          </w:p>
        </w:tc>
        <w:tc>
          <w:tcPr>
            <w:tcW w:w="0" w:type="auto"/>
            <w:shd w:val="clear" w:color="auto" w:fill="1F3864" w:themeFill="accent1" w:themeFillShade="80"/>
            <w:tcMar>
              <w:top w:w="150" w:type="dxa"/>
              <w:left w:w="240" w:type="dxa"/>
              <w:bottom w:w="150" w:type="dxa"/>
              <w:right w:w="240" w:type="dxa"/>
            </w:tcMar>
            <w:vAlign w:val="center"/>
            <w:hideMark/>
          </w:tcPr>
          <w:p w14:paraId="5F86223C"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Degradation Threshold</w:t>
            </w:r>
          </w:p>
        </w:tc>
        <w:tc>
          <w:tcPr>
            <w:tcW w:w="0" w:type="auto"/>
            <w:shd w:val="clear" w:color="auto" w:fill="1F3864" w:themeFill="accent1" w:themeFillShade="80"/>
            <w:tcMar>
              <w:top w:w="150" w:type="dxa"/>
              <w:left w:w="240" w:type="dxa"/>
              <w:bottom w:w="150" w:type="dxa"/>
              <w:right w:w="240" w:type="dxa"/>
            </w:tcMar>
            <w:vAlign w:val="center"/>
            <w:hideMark/>
          </w:tcPr>
          <w:p w14:paraId="37DC335C"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Action</w:t>
            </w:r>
          </w:p>
        </w:tc>
      </w:tr>
      <w:tr w:rsidR="00453D1C" w:rsidRPr="00453D1C" w14:paraId="69A39FC1" w14:textId="77777777" w:rsidTr="00453D1C">
        <w:trPr>
          <w:trHeight w:val="262"/>
        </w:trPr>
        <w:tc>
          <w:tcPr>
            <w:tcW w:w="0" w:type="auto"/>
            <w:tcMar>
              <w:top w:w="150" w:type="dxa"/>
              <w:left w:w="0" w:type="dxa"/>
              <w:bottom w:w="150" w:type="dxa"/>
              <w:right w:w="240" w:type="dxa"/>
            </w:tcMar>
            <w:vAlign w:val="center"/>
            <w:hideMark/>
          </w:tcPr>
          <w:p w14:paraId="624D6056"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Warning (Yellow)</w:t>
            </w:r>
          </w:p>
        </w:tc>
        <w:tc>
          <w:tcPr>
            <w:tcW w:w="0" w:type="auto"/>
            <w:tcMar>
              <w:top w:w="150" w:type="dxa"/>
              <w:left w:w="240" w:type="dxa"/>
              <w:bottom w:w="150" w:type="dxa"/>
              <w:right w:w="240" w:type="dxa"/>
            </w:tcMar>
            <w:vAlign w:val="center"/>
            <w:hideMark/>
          </w:tcPr>
          <w:p w14:paraId="4D75C072"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≥5%</w:t>
            </w:r>
          </w:p>
        </w:tc>
        <w:tc>
          <w:tcPr>
            <w:tcW w:w="0" w:type="auto"/>
            <w:tcMar>
              <w:top w:w="150" w:type="dxa"/>
              <w:left w:w="240" w:type="dxa"/>
              <w:bottom w:w="150" w:type="dxa"/>
              <w:right w:w="0" w:type="dxa"/>
            </w:tcMar>
            <w:vAlign w:val="center"/>
            <w:hideMark/>
          </w:tcPr>
          <w:p w14:paraId="3964C342"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Enhanced monitoring</w:t>
            </w:r>
          </w:p>
        </w:tc>
      </w:tr>
      <w:tr w:rsidR="00453D1C" w:rsidRPr="00453D1C" w14:paraId="121BB834" w14:textId="77777777" w:rsidTr="00453D1C">
        <w:trPr>
          <w:trHeight w:val="262"/>
        </w:trPr>
        <w:tc>
          <w:tcPr>
            <w:tcW w:w="0" w:type="auto"/>
            <w:shd w:val="clear" w:color="auto" w:fill="F2F2F2" w:themeFill="background1" w:themeFillShade="F2"/>
            <w:tcMar>
              <w:top w:w="150" w:type="dxa"/>
              <w:left w:w="0" w:type="dxa"/>
              <w:bottom w:w="150" w:type="dxa"/>
              <w:right w:w="240" w:type="dxa"/>
            </w:tcMar>
            <w:vAlign w:val="center"/>
            <w:hideMark/>
          </w:tcPr>
          <w:p w14:paraId="453494B7"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Critical (Red)</w:t>
            </w:r>
          </w:p>
        </w:tc>
        <w:tc>
          <w:tcPr>
            <w:tcW w:w="0" w:type="auto"/>
            <w:shd w:val="clear" w:color="auto" w:fill="F2F2F2" w:themeFill="background1" w:themeFillShade="F2"/>
            <w:tcMar>
              <w:top w:w="150" w:type="dxa"/>
              <w:left w:w="240" w:type="dxa"/>
              <w:bottom w:w="150" w:type="dxa"/>
              <w:right w:w="240" w:type="dxa"/>
            </w:tcMar>
            <w:vAlign w:val="center"/>
            <w:hideMark/>
          </w:tcPr>
          <w:p w14:paraId="0D3A1603" w14:textId="32294305" w:rsidR="00453D1C" w:rsidRPr="00453D1C" w:rsidRDefault="00D618CF" w:rsidP="00453D1C">
            <w:pPr>
              <w:widowControl/>
              <w:rPr>
                <w:rFonts w:ascii="Times New Roman" w:hAnsi="Times New Roman" w:cs="Times New Roman"/>
                <w:sz w:val="24"/>
                <w:szCs w:val="24"/>
              </w:rPr>
            </w:pPr>
            <w:r w:rsidRPr="00D618CF">
              <w:rPr>
                <w:rFonts w:ascii="Times New Roman" w:hAnsi="Times New Roman" w:cs="Times New Roman"/>
                <w:sz w:val="24"/>
                <w:szCs w:val="24"/>
              </w:rPr>
              <w:t>OCC: ≥10%; MAS: ≥5%</w:t>
            </w:r>
          </w:p>
        </w:tc>
        <w:tc>
          <w:tcPr>
            <w:tcW w:w="0" w:type="auto"/>
            <w:shd w:val="clear" w:color="auto" w:fill="F2F2F2" w:themeFill="background1" w:themeFillShade="F2"/>
            <w:tcMar>
              <w:top w:w="150" w:type="dxa"/>
              <w:left w:w="240" w:type="dxa"/>
              <w:bottom w:w="150" w:type="dxa"/>
              <w:right w:w="0" w:type="dxa"/>
            </w:tcMar>
            <w:vAlign w:val="center"/>
            <w:hideMark/>
          </w:tcPr>
          <w:p w14:paraId="086B294A" w14:textId="77777777" w:rsidR="00453D1C" w:rsidRPr="00453D1C" w:rsidRDefault="00453D1C" w:rsidP="00453D1C">
            <w:pPr>
              <w:widowControl/>
              <w:rPr>
                <w:rFonts w:ascii="Times New Roman" w:hAnsi="Times New Roman" w:cs="Times New Roman"/>
                <w:sz w:val="24"/>
                <w:szCs w:val="24"/>
              </w:rPr>
            </w:pPr>
            <w:r w:rsidRPr="00453D1C">
              <w:rPr>
                <w:rFonts w:ascii="Times New Roman" w:hAnsi="Times New Roman" w:cs="Times New Roman"/>
                <w:sz w:val="24"/>
                <w:szCs w:val="24"/>
              </w:rPr>
              <w:t>Model revalidation required</w:t>
            </w:r>
          </w:p>
        </w:tc>
      </w:tr>
    </w:tbl>
    <w:p w14:paraId="4C765ED5" w14:textId="77777777" w:rsidR="00453D1C" w:rsidRDefault="00453D1C" w:rsidP="00453D1C">
      <w:pPr>
        <w:widowControl/>
        <w:jc w:val="both"/>
        <w:rPr>
          <w:rFonts w:ascii="Times New Roman" w:hAnsi="Times New Roman" w:cs="Times New Roman"/>
          <w:sz w:val="24"/>
          <w:szCs w:val="24"/>
        </w:rPr>
      </w:pPr>
      <w:r w:rsidRPr="00453D1C">
        <w:rPr>
          <w:rFonts w:ascii="Times New Roman" w:hAnsi="Times New Roman" w:cs="Times New Roman"/>
          <w:sz w:val="24"/>
          <w:szCs w:val="24"/>
        </w:rPr>
        <w:t>These thresholds are aligned because both regulators view a 5–10% drop in discriminative power as material for Tier 1 credit models.</w:t>
      </w:r>
    </w:p>
    <w:p w14:paraId="254E72E4" w14:textId="77777777" w:rsidR="00453D1C" w:rsidRPr="00453D1C" w:rsidRDefault="00453D1C" w:rsidP="00453D1C">
      <w:pPr>
        <w:widowControl/>
        <w:jc w:val="both"/>
        <w:rPr>
          <w:rFonts w:ascii="Times New Roman" w:hAnsi="Times New Roman" w:cs="Times New Roman"/>
          <w:sz w:val="24"/>
          <w:szCs w:val="24"/>
        </w:rPr>
      </w:pPr>
    </w:p>
    <w:p w14:paraId="7420F734" w14:textId="77777777" w:rsidR="00453D1C" w:rsidRPr="00453D1C" w:rsidRDefault="00453D1C" w:rsidP="00453D1C">
      <w:pPr>
        <w:widowControl/>
        <w:jc w:val="both"/>
        <w:rPr>
          <w:rFonts w:ascii="Times New Roman" w:hAnsi="Times New Roman" w:cs="Times New Roman"/>
          <w:b/>
          <w:bCs/>
          <w:sz w:val="24"/>
          <w:szCs w:val="24"/>
        </w:rPr>
      </w:pPr>
      <w:r w:rsidRPr="00453D1C">
        <w:rPr>
          <w:rFonts w:ascii="Times New Roman" w:hAnsi="Times New Roman" w:cs="Times New Roman"/>
          <w:b/>
          <w:bCs/>
          <w:sz w:val="24"/>
          <w:szCs w:val="24"/>
        </w:rPr>
        <w:t>3.3 Metric 3: Approval Rate Disparity (Fairness)</w:t>
      </w:r>
    </w:p>
    <w:p w14:paraId="6AA14374" w14:textId="77777777" w:rsidR="00D618CF" w:rsidRPr="00D618CF" w:rsidRDefault="00D618CF" w:rsidP="00D618CF">
      <w:pPr>
        <w:widowControl/>
        <w:jc w:val="both"/>
        <w:rPr>
          <w:rFonts w:ascii="Times New Roman" w:hAnsi="Times New Roman" w:cs="Times New Roman"/>
          <w:sz w:val="24"/>
          <w:szCs w:val="24"/>
        </w:rPr>
      </w:pPr>
      <w:r w:rsidRPr="00D618CF">
        <w:rPr>
          <w:rFonts w:ascii="Times New Roman" w:hAnsi="Times New Roman" w:cs="Times New Roman"/>
          <w:sz w:val="24"/>
          <w:szCs w:val="24"/>
        </w:rPr>
        <w:t>Difference in approval rates between demographic groups (gender, ethnicity) relative to a reference group.</w:t>
      </w:r>
    </w:p>
    <w:p w14:paraId="47A5A20A" w14:textId="77BC4A9A" w:rsidR="00D618CF" w:rsidRPr="00D618CF" w:rsidRDefault="00D618CF" w:rsidP="00D618CF">
      <w:pPr>
        <w:pStyle w:val="a4"/>
        <w:numPr>
          <w:ilvl w:val="0"/>
          <w:numId w:val="17"/>
        </w:numPr>
        <w:jc w:val="both"/>
        <w:rPr>
          <w:rFonts w:ascii="Times New Roman" w:hAnsi="Times New Roman" w:cs="Times New Roman"/>
          <w:sz w:val="24"/>
          <w:szCs w:val="24"/>
        </w:rPr>
      </w:pPr>
      <w:r w:rsidRPr="00D618CF">
        <w:rPr>
          <w:rFonts w:ascii="Times New Roman" w:hAnsi="Times New Roman" w:cs="Times New Roman"/>
          <w:sz w:val="24"/>
          <w:szCs w:val="24"/>
        </w:rPr>
        <w:t>OCC (ECOA / Reg B): Uses the 80% rule (adverse impact ratio): a group's approval rate must be at least 80% of the highest</w:t>
      </w:r>
      <w:r w:rsidRPr="00D618CF">
        <w:rPr>
          <w:rFonts w:ascii="Times New Roman" w:hAnsi="Times New Roman" w:cs="Times New Roman"/>
          <w:sz w:val="24"/>
          <w:szCs w:val="24"/>
        </w:rPr>
        <w:noBreakHyphen/>
        <w:t>approval group's rate. Applied to protected classes (gender, race, national origin).</w:t>
      </w:r>
    </w:p>
    <w:p w14:paraId="38463EDD" w14:textId="0D86E092" w:rsidR="00D618CF" w:rsidRPr="00D618CF" w:rsidRDefault="00D618CF" w:rsidP="00D618CF">
      <w:pPr>
        <w:pStyle w:val="a4"/>
        <w:numPr>
          <w:ilvl w:val="0"/>
          <w:numId w:val="17"/>
        </w:numPr>
        <w:jc w:val="both"/>
        <w:rPr>
          <w:rFonts w:ascii="Times New Roman" w:hAnsi="Times New Roman" w:cs="Times New Roman"/>
          <w:sz w:val="24"/>
          <w:szCs w:val="24"/>
        </w:rPr>
      </w:pPr>
      <w:r w:rsidRPr="00D618CF">
        <w:rPr>
          <w:rFonts w:ascii="Times New Roman" w:hAnsi="Times New Roman" w:cs="Times New Roman"/>
          <w:sz w:val="24"/>
          <w:szCs w:val="24"/>
        </w:rPr>
        <w:t>MAS (FEAT Principles): Uses an absolute percentage</w:t>
      </w:r>
      <w:r w:rsidRPr="00D618CF">
        <w:rPr>
          <w:rFonts w:ascii="Times New Roman" w:hAnsi="Times New Roman" w:cs="Times New Roman"/>
          <w:sz w:val="24"/>
          <w:szCs w:val="24"/>
        </w:rPr>
        <w:noBreakHyphen/>
        <w:t xml:space="preserve">point gap approach: a gap &gt;5 percentage points </w:t>
      </w:r>
      <w:proofErr w:type="gramStart"/>
      <w:r w:rsidRPr="00D618CF">
        <w:rPr>
          <w:rFonts w:ascii="Times New Roman" w:hAnsi="Times New Roman" w:cs="Times New Roman"/>
          <w:sz w:val="24"/>
          <w:szCs w:val="24"/>
        </w:rPr>
        <w:t>triggers</w:t>
      </w:r>
      <w:proofErr w:type="gramEnd"/>
      <w:r w:rsidRPr="00D618CF">
        <w:rPr>
          <w:rFonts w:ascii="Times New Roman" w:hAnsi="Times New Roman" w:cs="Times New Roman"/>
          <w:sz w:val="24"/>
          <w:szCs w:val="24"/>
        </w:rPr>
        <w:t xml:space="preserve"> formal review. MAS also requires assessment of proxy discrimination (e.g., postal code as proxy for ethnicity or income).</w:t>
      </w:r>
    </w:p>
    <w:p w14:paraId="45939AEB" w14:textId="77777777" w:rsidR="000C08DA" w:rsidRDefault="000C08DA">
      <w:pPr>
        <w:widowControl/>
        <w:rPr>
          <w:rFonts w:ascii="Times New Roman" w:hAnsi="Times New Roman" w:cs="Times New Roman"/>
          <w:sz w:val="24"/>
          <w:szCs w:val="24"/>
        </w:rPr>
      </w:pPr>
      <w:r>
        <w:rPr>
          <w:rFonts w:ascii="Times New Roman" w:hAnsi="Times New Roman" w:cs="Times New Roman"/>
          <w:sz w:val="24"/>
          <w:szCs w:val="24"/>
        </w:rPr>
        <w:br w:type="page"/>
      </w:r>
    </w:p>
    <w:p w14:paraId="7BE9F279" w14:textId="4AAB0DED" w:rsidR="00453D1C" w:rsidRPr="00453D1C" w:rsidRDefault="00453D1C" w:rsidP="00453D1C">
      <w:pPr>
        <w:widowControl/>
        <w:rPr>
          <w:rFonts w:ascii="Times New Roman" w:hAnsi="Times New Roman" w:cs="Times New Roman"/>
          <w:b/>
          <w:bCs/>
          <w:sz w:val="24"/>
          <w:szCs w:val="24"/>
        </w:rPr>
      </w:pPr>
      <w:r w:rsidRPr="00453D1C">
        <w:rPr>
          <w:rFonts w:ascii="Times New Roman" w:hAnsi="Times New Roman" w:cs="Times New Roman"/>
          <w:b/>
          <w:bCs/>
          <w:sz w:val="24"/>
          <w:szCs w:val="24"/>
        </w:rPr>
        <w:lastRenderedPageBreak/>
        <w:t>4 Quantitative Analysis of Metrics</w:t>
      </w:r>
    </w:p>
    <w:p w14:paraId="5907FED2" w14:textId="77777777" w:rsidR="00453D1C" w:rsidRPr="00453D1C" w:rsidRDefault="00453D1C" w:rsidP="00453D1C">
      <w:pPr>
        <w:widowControl/>
        <w:rPr>
          <w:rFonts w:ascii="Times New Roman" w:hAnsi="Times New Roman" w:cs="Times New Roman"/>
          <w:b/>
          <w:bCs/>
          <w:sz w:val="24"/>
          <w:szCs w:val="24"/>
        </w:rPr>
      </w:pPr>
      <w:r w:rsidRPr="00453D1C">
        <w:rPr>
          <w:rFonts w:ascii="Times New Roman" w:hAnsi="Times New Roman" w:cs="Times New Roman"/>
          <w:b/>
          <w:bCs/>
          <w:sz w:val="24"/>
          <w:szCs w:val="24"/>
        </w:rPr>
        <w:t>4.1 PSI Analysis</w:t>
      </w:r>
    </w:p>
    <w:p w14:paraId="6B8762E0" w14:textId="77777777" w:rsidR="000C08DA" w:rsidRPr="000C08DA" w:rsidRDefault="000C08DA" w:rsidP="000C08DA">
      <w:pPr>
        <w:widowControl/>
        <w:jc w:val="both"/>
        <w:rPr>
          <w:rFonts w:ascii="Times New Roman" w:eastAsia="Arial" w:hAnsi="Times New Roman" w:cs="Times New Roman"/>
          <w:sz w:val="24"/>
          <w:szCs w:val="24"/>
        </w:rPr>
      </w:pPr>
      <w:r w:rsidRPr="000C08DA">
        <w:rPr>
          <w:rFonts w:ascii="Times New Roman" w:eastAsia="Arial" w:hAnsi="Times New Roman" w:cs="Times New Roman"/>
          <w:sz w:val="24"/>
          <w:szCs w:val="24"/>
        </w:rPr>
        <w:t>The 10</w:t>
      </w:r>
      <w:r w:rsidRPr="000C08DA">
        <w:rPr>
          <w:rFonts w:ascii="Times New Roman" w:eastAsia="Arial" w:hAnsi="Times New Roman" w:cs="Times New Roman"/>
          <w:sz w:val="24"/>
          <w:szCs w:val="24"/>
        </w:rPr>
        <w:noBreakHyphen/>
        <w:t>bucket PSI breakdown is as follows:</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1686"/>
        <w:gridCol w:w="1701"/>
        <w:gridCol w:w="1598"/>
        <w:gridCol w:w="2132"/>
        <w:gridCol w:w="1931"/>
      </w:tblGrid>
      <w:tr w:rsidR="00D11E00" w:rsidRPr="00D11E00" w14:paraId="546DFBED" w14:textId="77777777" w:rsidTr="002569EF">
        <w:trPr>
          <w:trHeight w:val="540"/>
        </w:trPr>
        <w:tc>
          <w:tcPr>
            <w:tcW w:w="1007" w:type="dxa"/>
            <w:shd w:val="clear" w:color="auto" w:fill="1B3A6B"/>
            <w:tcMar>
              <w:top w:w="80" w:type="dxa"/>
              <w:left w:w="110" w:type="dxa"/>
              <w:bottom w:w="80" w:type="dxa"/>
              <w:right w:w="110" w:type="dxa"/>
            </w:tcMar>
          </w:tcPr>
          <w:p w14:paraId="6040E2C1"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Bucket</w:t>
            </w:r>
          </w:p>
        </w:tc>
        <w:tc>
          <w:tcPr>
            <w:tcW w:w="1686" w:type="dxa"/>
            <w:shd w:val="clear" w:color="auto" w:fill="1B3A6B"/>
            <w:tcMar>
              <w:top w:w="80" w:type="dxa"/>
              <w:left w:w="110" w:type="dxa"/>
              <w:bottom w:w="80" w:type="dxa"/>
              <w:right w:w="110" w:type="dxa"/>
            </w:tcMar>
          </w:tcPr>
          <w:p w14:paraId="3447F8C1"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Score Range</w:t>
            </w:r>
          </w:p>
        </w:tc>
        <w:tc>
          <w:tcPr>
            <w:tcW w:w="1701" w:type="dxa"/>
            <w:shd w:val="clear" w:color="auto" w:fill="1B3A6B"/>
            <w:tcMar>
              <w:top w:w="80" w:type="dxa"/>
              <w:left w:w="110" w:type="dxa"/>
              <w:bottom w:w="80" w:type="dxa"/>
              <w:right w:w="110" w:type="dxa"/>
            </w:tcMar>
          </w:tcPr>
          <w:p w14:paraId="481EDA81"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Training %</w:t>
            </w:r>
          </w:p>
        </w:tc>
        <w:tc>
          <w:tcPr>
            <w:tcW w:w="1598" w:type="dxa"/>
            <w:shd w:val="clear" w:color="auto" w:fill="1B3A6B"/>
            <w:tcMar>
              <w:top w:w="80" w:type="dxa"/>
              <w:left w:w="110" w:type="dxa"/>
              <w:bottom w:w="80" w:type="dxa"/>
              <w:right w:w="110" w:type="dxa"/>
            </w:tcMar>
          </w:tcPr>
          <w:p w14:paraId="62B17142"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Live %</w:t>
            </w:r>
          </w:p>
        </w:tc>
        <w:tc>
          <w:tcPr>
            <w:tcW w:w="2132" w:type="dxa"/>
            <w:shd w:val="clear" w:color="auto" w:fill="1B3A6B"/>
            <w:tcMar>
              <w:top w:w="80" w:type="dxa"/>
              <w:left w:w="110" w:type="dxa"/>
              <w:bottom w:w="80" w:type="dxa"/>
              <w:right w:w="110" w:type="dxa"/>
            </w:tcMar>
          </w:tcPr>
          <w:p w14:paraId="4C52EE7B"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PSI Contribution</w:t>
            </w:r>
          </w:p>
        </w:tc>
        <w:tc>
          <w:tcPr>
            <w:tcW w:w="1931" w:type="dxa"/>
            <w:shd w:val="clear" w:color="auto" w:fill="1B3A6B"/>
            <w:tcMar>
              <w:top w:w="80" w:type="dxa"/>
              <w:left w:w="110" w:type="dxa"/>
              <w:bottom w:w="80" w:type="dxa"/>
              <w:right w:w="110" w:type="dxa"/>
            </w:tcMar>
          </w:tcPr>
          <w:p w14:paraId="2493C80A"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Cumulative PSI</w:t>
            </w:r>
          </w:p>
        </w:tc>
      </w:tr>
      <w:tr w:rsidR="00D618CF" w:rsidRPr="00D11E00" w14:paraId="2AFB476E" w14:textId="77777777" w:rsidTr="00B90E13">
        <w:trPr>
          <w:trHeight w:val="284"/>
        </w:trPr>
        <w:tc>
          <w:tcPr>
            <w:tcW w:w="1007" w:type="dxa"/>
            <w:shd w:val="clear" w:color="auto" w:fill="FFFFFF"/>
            <w:tcMar>
              <w:top w:w="60" w:type="dxa"/>
              <w:left w:w="110" w:type="dxa"/>
              <w:bottom w:w="60" w:type="dxa"/>
              <w:right w:w="110" w:type="dxa"/>
            </w:tcMar>
            <w:vAlign w:val="center"/>
          </w:tcPr>
          <w:p w14:paraId="1A669A34" w14:textId="035105B6"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w:t>
            </w:r>
          </w:p>
        </w:tc>
        <w:tc>
          <w:tcPr>
            <w:tcW w:w="1686" w:type="dxa"/>
            <w:shd w:val="clear" w:color="auto" w:fill="FFFFFF"/>
            <w:tcMar>
              <w:top w:w="60" w:type="dxa"/>
              <w:left w:w="110" w:type="dxa"/>
              <w:bottom w:w="60" w:type="dxa"/>
              <w:right w:w="110" w:type="dxa"/>
            </w:tcMar>
            <w:vAlign w:val="center"/>
          </w:tcPr>
          <w:p w14:paraId="6D366DF7" w14:textId="0F9947A0"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0.122–0.583</w:t>
            </w:r>
          </w:p>
        </w:tc>
        <w:tc>
          <w:tcPr>
            <w:tcW w:w="1701" w:type="dxa"/>
            <w:shd w:val="clear" w:color="auto" w:fill="FFFFFF"/>
            <w:tcMar>
              <w:top w:w="60" w:type="dxa"/>
              <w:left w:w="110" w:type="dxa"/>
              <w:bottom w:w="60" w:type="dxa"/>
              <w:right w:w="110" w:type="dxa"/>
            </w:tcMar>
            <w:vAlign w:val="center"/>
          </w:tcPr>
          <w:p w14:paraId="5C259BF5" w14:textId="4E411714"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10.00%</w:t>
            </w:r>
          </w:p>
        </w:tc>
        <w:tc>
          <w:tcPr>
            <w:tcW w:w="1598" w:type="dxa"/>
            <w:shd w:val="clear" w:color="auto" w:fill="FFFFFF"/>
            <w:tcMar>
              <w:top w:w="60" w:type="dxa"/>
              <w:left w:w="110" w:type="dxa"/>
              <w:bottom w:w="60" w:type="dxa"/>
              <w:right w:w="110" w:type="dxa"/>
            </w:tcMar>
            <w:vAlign w:val="center"/>
          </w:tcPr>
          <w:p w14:paraId="29DCF054" w14:textId="71FC4308"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32.90%</w:t>
            </w:r>
          </w:p>
        </w:tc>
        <w:tc>
          <w:tcPr>
            <w:tcW w:w="2132" w:type="dxa"/>
            <w:shd w:val="clear" w:color="auto" w:fill="FFFFFF"/>
            <w:tcMar>
              <w:top w:w="60" w:type="dxa"/>
              <w:left w:w="110" w:type="dxa"/>
              <w:bottom w:w="60" w:type="dxa"/>
              <w:right w:w="110" w:type="dxa"/>
            </w:tcMar>
            <w:vAlign w:val="center"/>
          </w:tcPr>
          <w:p w14:paraId="1BFC96B1" w14:textId="402B95C5"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0.2727</w:t>
            </w:r>
          </w:p>
        </w:tc>
        <w:tc>
          <w:tcPr>
            <w:tcW w:w="1931" w:type="dxa"/>
            <w:shd w:val="clear" w:color="auto" w:fill="FFFFFF"/>
            <w:tcMar>
              <w:top w:w="60" w:type="dxa"/>
              <w:left w:w="110" w:type="dxa"/>
              <w:bottom w:w="60" w:type="dxa"/>
              <w:right w:w="110" w:type="dxa"/>
            </w:tcMar>
            <w:vAlign w:val="center"/>
          </w:tcPr>
          <w:p w14:paraId="442DC56A" w14:textId="7D5B2CE2"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0.2727</w:t>
            </w:r>
          </w:p>
        </w:tc>
      </w:tr>
      <w:tr w:rsidR="00D618CF" w:rsidRPr="00D11E00" w14:paraId="31187FA7" w14:textId="77777777" w:rsidTr="00B90E13">
        <w:trPr>
          <w:trHeight w:val="284"/>
        </w:trPr>
        <w:tc>
          <w:tcPr>
            <w:tcW w:w="1007" w:type="dxa"/>
            <w:shd w:val="clear" w:color="auto" w:fill="F5F5F5"/>
            <w:tcMar>
              <w:top w:w="60" w:type="dxa"/>
              <w:left w:w="110" w:type="dxa"/>
              <w:bottom w:w="60" w:type="dxa"/>
              <w:right w:w="110" w:type="dxa"/>
            </w:tcMar>
            <w:vAlign w:val="center"/>
          </w:tcPr>
          <w:p w14:paraId="04F00B39" w14:textId="7D44D530"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2</w:t>
            </w:r>
          </w:p>
        </w:tc>
        <w:tc>
          <w:tcPr>
            <w:tcW w:w="1686" w:type="dxa"/>
            <w:shd w:val="clear" w:color="auto" w:fill="F5F5F5"/>
            <w:tcMar>
              <w:top w:w="60" w:type="dxa"/>
              <w:left w:w="110" w:type="dxa"/>
              <w:bottom w:w="60" w:type="dxa"/>
              <w:right w:w="110" w:type="dxa"/>
            </w:tcMar>
            <w:vAlign w:val="center"/>
          </w:tcPr>
          <w:p w14:paraId="07EB4F65" w14:textId="0627A542"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0.583–0.640</w:t>
            </w:r>
          </w:p>
        </w:tc>
        <w:tc>
          <w:tcPr>
            <w:tcW w:w="1701" w:type="dxa"/>
            <w:shd w:val="clear" w:color="auto" w:fill="F5F5F5"/>
            <w:tcMar>
              <w:top w:w="60" w:type="dxa"/>
              <w:left w:w="110" w:type="dxa"/>
              <w:bottom w:w="60" w:type="dxa"/>
              <w:right w:w="110" w:type="dxa"/>
            </w:tcMar>
            <w:vAlign w:val="center"/>
          </w:tcPr>
          <w:p w14:paraId="69518651" w14:textId="04971A52"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9.98%</w:t>
            </w:r>
          </w:p>
        </w:tc>
        <w:tc>
          <w:tcPr>
            <w:tcW w:w="1598" w:type="dxa"/>
            <w:shd w:val="clear" w:color="auto" w:fill="F5F5F5"/>
            <w:tcMar>
              <w:top w:w="60" w:type="dxa"/>
              <w:left w:w="110" w:type="dxa"/>
              <w:bottom w:w="60" w:type="dxa"/>
              <w:right w:w="110" w:type="dxa"/>
            </w:tcMar>
            <w:vAlign w:val="center"/>
          </w:tcPr>
          <w:p w14:paraId="779ACD34" w14:textId="3882AA62"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14.40%</w:t>
            </w:r>
          </w:p>
        </w:tc>
        <w:tc>
          <w:tcPr>
            <w:tcW w:w="2132" w:type="dxa"/>
            <w:shd w:val="clear" w:color="auto" w:fill="F5F5F5"/>
            <w:tcMar>
              <w:top w:w="60" w:type="dxa"/>
              <w:left w:w="110" w:type="dxa"/>
              <w:bottom w:w="60" w:type="dxa"/>
              <w:right w:w="110" w:type="dxa"/>
            </w:tcMar>
            <w:vAlign w:val="center"/>
          </w:tcPr>
          <w:p w14:paraId="08BF46CB" w14:textId="35BC292A"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0.0162</w:t>
            </w:r>
          </w:p>
        </w:tc>
        <w:tc>
          <w:tcPr>
            <w:tcW w:w="1931" w:type="dxa"/>
            <w:shd w:val="clear" w:color="auto" w:fill="F5F5F5"/>
            <w:tcMar>
              <w:top w:w="60" w:type="dxa"/>
              <w:left w:w="110" w:type="dxa"/>
              <w:bottom w:w="60" w:type="dxa"/>
              <w:right w:w="110" w:type="dxa"/>
            </w:tcMar>
            <w:vAlign w:val="center"/>
          </w:tcPr>
          <w:p w14:paraId="2D0B99D0" w14:textId="798A1E01"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0.2889</w:t>
            </w:r>
          </w:p>
        </w:tc>
      </w:tr>
      <w:tr w:rsidR="00D618CF" w:rsidRPr="00D11E00" w14:paraId="04FCE7D4" w14:textId="77777777" w:rsidTr="00B90E13">
        <w:trPr>
          <w:trHeight w:val="284"/>
        </w:trPr>
        <w:tc>
          <w:tcPr>
            <w:tcW w:w="1007" w:type="dxa"/>
            <w:shd w:val="clear" w:color="auto" w:fill="FFFFFF"/>
            <w:tcMar>
              <w:top w:w="60" w:type="dxa"/>
              <w:left w:w="110" w:type="dxa"/>
              <w:bottom w:w="60" w:type="dxa"/>
              <w:right w:w="110" w:type="dxa"/>
            </w:tcMar>
            <w:vAlign w:val="center"/>
          </w:tcPr>
          <w:p w14:paraId="13E60143" w14:textId="2650B499"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3</w:t>
            </w:r>
          </w:p>
        </w:tc>
        <w:tc>
          <w:tcPr>
            <w:tcW w:w="1686" w:type="dxa"/>
            <w:shd w:val="clear" w:color="auto" w:fill="FFFFFF"/>
            <w:tcMar>
              <w:top w:w="60" w:type="dxa"/>
              <w:left w:w="110" w:type="dxa"/>
              <w:bottom w:w="60" w:type="dxa"/>
              <w:right w:w="110" w:type="dxa"/>
            </w:tcMar>
            <w:vAlign w:val="center"/>
          </w:tcPr>
          <w:p w14:paraId="79CB27C6" w14:textId="3CCDC112"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0.640–0.680</w:t>
            </w:r>
          </w:p>
        </w:tc>
        <w:tc>
          <w:tcPr>
            <w:tcW w:w="1701" w:type="dxa"/>
            <w:shd w:val="clear" w:color="auto" w:fill="FFFFFF"/>
            <w:tcMar>
              <w:top w:w="60" w:type="dxa"/>
              <w:left w:w="110" w:type="dxa"/>
              <w:bottom w:w="60" w:type="dxa"/>
              <w:right w:w="110" w:type="dxa"/>
            </w:tcMar>
            <w:vAlign w:val="center"/>
          </w:tcPr>
          <w:p w14:paraId="01C1DF3A" w14:textId="6250AE59"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10.00%</w:t>
            </w:r>
          </w:p>
        </w:tc>
        <w:tc>
          <w:tcPr>
            <w:tcW w:w="1598" w:type="dxa"/>
            <w:shd w:val="clear" w:color="auto" w:fill="FFFFFF"/>
            <w:tcMar>
              <w:top w:w="60" w:type="dxa"/>
              <w:left w:w="110" w:type="dxa"/>
              <w:bottom w:w="60" w:type="dxa"/>
              <w:right w:w="110" w:type="dxa"/>
            </w:tcMar>
            <w:vAlign w:val="center"/>
          </w:tcPr>
          <w:p w14:paraId="059D7723" w14:textId="6BF5671A"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9.17%</w:t>
            </w:r>
          </w:p>
        </w:tc>
        <w:tc>
          <w:tcPr>
            <w:tcW w:w="2132" w:type="dxa"/>
            <w:shd w:val="clear" w:color="auto" w:fill="FFFFFF"/>
            <w:tcMar>
              <w:top w:w="60" w:type="dxa"/>
              <w:left w:w="110" w:type="dxa"/>
              <w:bottom w:w="60" w:type="dxa"/>
              <w:right w:w="110" w:type="dxa"/>
            </w:tcMar>
            <w:vAlign w:val="center"/>
          </w:tcPr>
          <w:p w14:paraId="04F01CA3" w14:textId="379EB47D"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0.0007</w:t>
            </w:r>
          </w:p>
        </w:tc>
        <w:tc>
          <w:tcPr>
            <w:tcW w:w="1931" w:type="dxa"/>
            <w:shd w:val="clear" w:color="auto" w:fill="FFFFFF"/>
            <w:tcMar>
              <w:top w:w="60" w:type="dxa"/>
              <w:left w:w="110" w:type="dxa"/>
              <w:bottom w:w="60" w:type="dxa"/>
              <w:right w:w="110" w:type="dxa"/>
            </w:tcMar>
            <w:vAlign w:val="center"/>
          </w:tcPr>
          <w:p w14:paraId="0A87560D" w14:textId="488BB9A7"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0.2896</w:t>
            </w:r>
          </w:p>
        </w:tc>
      </w:tr>
      <w:tr w:rsidR="00D618CF" w:rsidRPr="00D11E00" w14:paraId="7825E208" w14:textId="77777777" w:rsidTr="00B90E13">
        <w:trPr>
          <w:trHeight w:val="284"/>
        </w:trPr>
        <w:tc>
          <w:tcPr>
            <w:tcW w:w="1007" w:type="dxa"/>
            <w:shd w:val="clear" w:color="auto" w:fill="F5F5F5"/>
            <w:tcMar>
              <w:top w:w="60" w:type="dxa"/>
              <w:left w:w="110" w:type="dxa"/>
              <w:bottom w:w="60" w:type="dxa"/>
              <w:right w:w="110" w:type="dxa"/>
            </w:tcMar>
            <w:vAlign w:val="center"/>
          </w:tcPr>
          <w:p w14:paraId="755657F1" w14:textId="3DF8708B"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4</w:t>
            </w:r>
          </w:p>
        </w:tc>
        <w:tc>
          <w:tcPr>
            <w:tcW w:w="1686" w:type="dxa"/>
            <w:shd w:val="clear" w:color="auto" w:fill="F5F5F5"/>
            <w:tcMar>
              <w:top w:w="60" w:type="dxa"/>
              <w:left w:w="110" w:type="dxa"/>
              <w:bottom w:w="60" w:type="dxa"/>
              <w:right w:w="110" w:type="dxa"/>
            </w:tcMar>
            <w:vAlign w:val="center"/>
          </w:tcPr>
          <w:p w14:paraId="0C78A262" w14:textId="16A2552C"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0.680–0.716</w:t>
            </w:r>
          </w:p>
        </w:tc>
        <w:tc>
          <w:tcPr>
            <w:tcW w:w="1701" w:type="dxa"/>
            <w:shd w:val="clear" w:color="auto" w:fill="F5F5F5"/>
            <w:tcMar>
              <w:top w:w="60" w:type="dxa"/>
              <w:left w:w="110" w:type="dxa"/>
              <w:bottom w:w="60" w:type="dxa"/>
              <w:right w:w="110" w:type="dxa"/>
            </w:tcMar>
            <w:vAlign w:val="center"/>
          </w:tcPr>
          <w:p w14:paraId="0AFA307E" w14:textId="564D89FD"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10.02%</w:t>
            </w:r>
          </w:p>
        </w:tc>
        <w:tc>
          <w:tcPr>
            <w:tcW w:w="1598" w:type="dxa"/>
            <w:shd w:val="clear" w:color="auto" w:fill="F5F5F5"/>
            <w:tcMar>
              <w:top w:w="60" w:type="dxa"/>
              <w:left w:w="110" w:type="dxa"/>
              <w:bottom w:w="60" w:type="dxa"/>
              <w:right w:w="110" w:type="dxa"/>
            </w:tcMar>
            <w:vAlign w:val="center"/>
          </w:tcPr>
          <w:p w14:paraId="3B230FAA" w14:textId="3E83748F"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9.43%</w:t>
            </w:r>
          </w:p>
        </w:tc>
        <w:tc>
          <w:tcPr>
            <w:tcW w:w="2132" w:type="dxa"/>
            <w:shd w:val="clear" w:color="auto" w:fill="F5F5F5"/>
            <w:tcMar>
              <w:top w:w="60" w:type="dxa"/>
              <w:left w:w="110" w:type="dxa"/>
              <w:bottom w:w="60" w:type="dxa"/>
              <w:right w:w="110" w:type="dxa"/>
            </w:tcMar>
            <w:vAlign w:val="center"/>
          </w:tcPr>
          <w:p w14:paraId="4B1CC7F2" w14:textId="3AD4F820"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0.0004</w:t>
            </w:r>
          </w:p>
        </w:tc>
        <w:tc>
          <w:tcPr>
            <w:tcW w:w="1931" w:type="dxa"/>
            <w:shd w:val="clear" w:color="auto" w:fill="F5F5F5"/>
            <w:tcMar>
              <w:top w:w="60" w:type="dxa"/>
              <w:left w:w="110" w:type="dxa"/>
              <w:bottom w:w="60" w:type="dxa"/>
              <w:right w:w="110" w:type="dxa"/>
            </w:tcMar>
            <w:vAlign w:val="center"/>
          </w:tcPr>
          <w:p w14:paraId="2A2F6AED" w14:textId="01A5234E"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0.2900</w:t>
            </w:r>
          </w:p>
        </w:tc>
      </w:tr>
      <w:tr w:rsidR="00D618CF" w:rsidRPr="00D11E00" w14:paraId="08892198" w14:textId="77777777" w:rsidTr="00B90E13">
        <w:trPr>
          <w:trHeight w:val="284"/>
        </w:trPr>
        <w:tc>
          <w:tcPr>
            <w:tcW w:w="1007" w:type="dxa"/>
            <w:shd w:val="clear" w:color="auto" w:fill="FFFFFF"/>
            <w:tcMar>
              <w:top w:w="60" w:type="dxa"/>
              <w:left w:w="110" w:type="dxa"/>
              <w:bottom w:w="60" w:type="dxa"/>
              <w:right w:w="110" w:type="dxa"/>
            </w:tcMar>
            <w:vAlign w:val="center"/>
          </w:tcPr>
          <w:p w14:paraId="605D483D" w14:textId="64CEE882"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5</w:t>
            </w:r>
          </w:p>
        </w:tc>
        <w:tc>
          <w:tcPr>
            <w:tcW w:w="1686" w:type="dxa"/>
            <w:shd w:val="clear" w:color="auto" w:fill="FFFFFF"/>
            <w:tcMar>
              <w:top w:w="60" w:type="dxa"/>
              <w:left w:w="110" w:type="dxa"/>
              <w:bottom w:w="60" w:type="dxa"/>
              <w:right w:w="110" w:type="dxa"/>
            </w:tcMar>
            <w:vAlign w:val="center"/>
          </w:tcPr>
          <w:p w14:paraId="75A92566" w14:textId="4630586B"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0.716–0.749</w:t>
            </w:r>
          </w:p>
        </w:tc>
        <w:tc>
          <w:tcPr>
            <w:tcW w:w="1701" w:type="dxa"/>
            <w:shd w:val="clear" w:color="auto" w:fill="FFFFFF"/>
            <w:tcMar>
              <w:top w:w="60" w:type="dxa"/>
              <w:left w:w="110" w:type="dxa"/>
              <w:bottom w:w="60" w:type="dxa"/>
              <w:right w:w="110" w:type="dxa"/>
            </w:tcMar>
            <w:vAlign w:val="center"/>
          </w:tcPr>
          <w:p w14:paraId="750CA0B4" w14:textId="3591ED99"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9.96%</w:t>
            </w:r>
          </w:p>
        </w:tc>
        <w:tc>
          <w:tcPr>
            <w:tcW w:w="1598" w:type="dxa"/>
            <w:shd w:val="clear" w:color="auto" w:fill="FFFFFF"/>
            <w:tcMar>
              <w:top w:w="60" w:type="dxa"/>
              <w:left w:w="110" w:type="dxa"/>
              <w:bottom w:w="60" w:type="dxa"/>
              <w:right w:w="110" w:type="dxa"/>
            </w:tcMar>
            <w:vAlign w:val="center"/>
          </w:tcPr>
          <w:p w14:paraId="007E13E7" w14:textId="62B9FD5B"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6.70%</w:t>
            </w:r>
          </w:p>
        </w:tc>
        <w:tc>
          <w:tcPr>
            <w:tcW w:w="2132" w:type="dxa"/>
            <w:shd w:val="clear" w:color="auto" w:fill="FFFFFF"/>
            <w:tcMar>
              <w:top w:w="60" w:type="dxa"/>
              <w:left w:w="110" w:type="dxa"/>
              <w:bottom w:w="60" w:type="dxa"/>
              <w:right w:w="110" w:type="dxa"/>
            </w:tcMar>
            <w:vAlign w:val="center"/>
          </w:tcPr>
          <w:p w14:paraId="7FCE37CA" w14:textId="7C991119"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0.0129</w:t>
            </w:r>
          </w:p>
        </w:tc>
        <w:tc>
          <w:tcPr>
            <w:tcW w:w="1931" w:type="dxa"/>
            <w:shd w:val="clear" w:color="auto" w:fill="FFFFFF"/>
            <w:tcMar>
              <w:top w:w="60" w:type="dxa"/>
              <w:left w:w="110" w:type="dxa"/>
              <w:bottom w:w="60" w:type="dxa"/>
              <w:right w:w="110" w:type="dxa"/>
            </w:tcMar>
            <w:vAlign w:val="center"/>
          </w:tcPr>
          <w:p w14:paraId="253F4D67" w14:textId="704589A5"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0.3029</w:t>
            </w:r>
          </w:p>
        </w:tc>
      </w:tr>
      <w:tr w:rsidR="00D618CF" w:rsidRPr="00D11E00" w14:paraId="44F27859" w14:textId="77777777" w:rsidTr="00B90E13">
        <w:trPr>
          <w:trHeight w:val="284"/>
        </w:trPr>
        <w:tc>
          <w:tcPr>
            <w:tcW w:w="1007" w:type="dxa"/>
            <w:shd w:val="clear" w:color="auto" w:fill="F5F5F5"/>
            <w:tcMar>
              <w:top w:w="60" w:type="dxa"/>
              <w:left w:w="110" w:type="dxa"/>
              <w:bottom w:w="60" w:type="dxa"/>
              <w:right w:w="110" w:type="dxa"/>
            </w:tcMar>
            <w:vAlign w:val="center"/>
          </w:tcPr>
          <w:p w14:paraId="0FDA680A" w14:textId="42F5B939"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6</w:t>
            </w:r>
          </w:p>
        </w:tc>
        <w:tc>
          <w:tcPr>
            <w:tcW w:w="1686" w:type="dxa"/>
            <w:shd w:val="clear" w:color="auto" w:fill="F5F5F5"/>
            <w:tcMar>
              <w:top w:w="60" w:type="dxa"/>
              <w:left w:w="110" w:type="dxa"/>
              <w:bottom w:w="60" w:type="dxa"/>
              <w:right w:w="110" w:type="dxa"/>
            </w:tcMar>
            <w:vAlign w:val="center"/>
          </w:tcPr>
          <w:p w14:paraId="48D5F45D" w14:textId="22BDFBF9"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0.749–0.783</w:t>
            </w:r>
          </w:p>
        </w:tc>
        <w:tc>
          <w:tcPr>
            <w:tcW w:w="1701" w:type="dxa"/>
            <w:shd w:val="clear" w:color="auto" w:fill="F5F5F5"/>
            <w:tcMar>
              <w:top w:w="60" w:type="dxa"/>
              <w:left w:w="110" w:type="dxa"/>
              <w:bottom w:w="60" w:type="dxa"/>
              <w:right w:w="110" w:type="dxa"/>
            </w:tcMar>
            <w:vAlign w:val="center"/>
          </w:tcPr>
          <w:p w14:paraId="530C7E7B" w14:textId="3966140E"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10.04%</w:t>
            </w:r>
          </w:p>
        </w:tc>
        <w:tc>
          <w:tcPr>
            <w:tcW w:w="1598" w:type="dxa"/>
            <w:shd w:val="clear" w:color="auto" w:fill="F5F5F5"/>
            <w:tcMar>
              <w:top w:w="60" w:type="dxa"/>
              <w:left w:w="110" w:type="dxa"/>
              <w:bottom w:w="60" w:type="dxa"/>
              <w:right w:w="110" w:type="dxa"/>
            </w:tcMar>
            <w:vAlign w:val="center"/>
          </w:tcPr>
          <w:p w14:paraId="215D27B3" w14:textId="7FA80875"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7.20%</w:t>
            </w:r>
          </w:p>
        </w:tc>
        <w:tc>
          <w:tcPr>
            <w:tcW w:w="2132" w:type="dxa"/>
            <w:shd w:val="clear" w:color="auto" w:fill="F5F5F5"/>
            <w:tcMar>
              <w:top w:w="60" w:type="dxa"/>
              <w:left w:w="110" w:type="dxa"/>
              <w:bottom w:w="60" w:type="dxa"/>
              <w:right w:w="110" w:type="dxa"/>
            </w:tcMar>
            <w:vAlign w:val="center"/>
          </w:tcPr>
          <w:p w14:paraId="0DC8D0E7" w14:textId="3F4855DD"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0.0094</w:t>
            </w:r>
          </w:p>
        </w:tc>
        <w:tc>
          <w:tcPr>
            <w:tcW w:w="1931" w:type="dxa"/>
            <w:shd w:val="clear" w:color="auto" w:fill="F5F5F5"/>
            <w:tcMar>
              <w:top w:w="60" w:type="dxa"/>
              <w:left w:w="110" w:type="dxa"/>
              <w:bottom w:w="60" w:type="dxa"/>
              <w:right w:w="110" w:type="dxa"/>
            </w:tcMar>
            <w:vAlign w:val="center"/>
          </w:tcPr>
          <w:p w14:paraId="6C02DD58" w14:textId="4C465325"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0.3124</w:t>
            </w:r>
          </w:p>
        </w:tc>
      </w:tr>
      <w:tr w:rsidR="00D618CF" w:rsidRPr="00D11E00" w14:paraId="7BFD404B" w14:textId="77777777" w:rsidTr="00B90E13">
        <w:trPr>
          <w:trHeight w:val="284"/>
        </w:trPr>
        <w:tc>
          <w:tcPr>
            <w:tcW w:w="1007" w:type="dxa"/>
            <w:shd w:val="clear" w:color="auto" w:fill="FFFFFF"/>
            <w:tcMar>
              <w:top w:w="60" w:type="dxa"/>
              <w:left w:w="110" w:type="dxa"/>
              <w:bottom w:w="60" w:type="dxa"/>
              <w:right w:w="110" w:type="dxa"/>
            </w:tcMar>
            <w:vAlign w:val="center"/>
          </w:tcPr>
          <w:p w14:paraId="24FFC015" w14:textId="68D4E5B8"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7</w:t>
            </w:r>
          </w:p>
        </w:tc>
        <w:tc>
          <w:tcPr>
            <w:tcW w:w="1686" w:type="dxa"/>
            <w:shd w:val="clear" w:color="auto" w:fill="FFFFFF"/>
            <w:tcMar>
              <w:top w:w="60" w:type="dxa"/>
              <w:left w:w="110" w:type="dxa"/>
              <w:bottom w:w="60" w:type="dxa"/>
              <w:right w:w="110" w:type="dxa"/>
            </w:tcMar>
            <w:vAlign w:val="center"/>
          </w:tcPr>
          <w:p w14:paraId="02789FA1" w14:textId="558C1565"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0.783–0.818</w:t>
            </w:r>
          </w:p>
        </w:tc>
        <w:tc>
          <w:tcPr>
            <w:tcW w:w="1701" w:type="dxa"/>
            <w:shd w:val="clear" w:color="auto" w:fill="FFFFFF"/>
            <w:tcMar>
              <w:top w:w="60" w:type="dxa"/>
              <w:left w:w="110" w:type="dxa"/>
              <w:bottom w:w="60" w:type="dxa"/>
              <w:right w:w="110" w:type="dxa"/>
            </w:tcMar>
            <w:vAlign w:val="center"/>
          </w:tcPr>
          <w:p w14:paraId="6890873A" w14:textId="5BEF4A90"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10.00%</w:t>
            </w:r>
          </w:p>
        </w:tc>
        <w:tc>
          <w:tcPr>
            <w:tcW w:w="1598" w:type="dxa"/>
            <w:shd w:val="clear" w:color="auto" w:fill="FFFFFF"/>
            <w:tcMar>
              <w:top w:w="60" w:type="dxa"/>
              <w:left w:w="110" w:type="dxa"/>
              <w:bottom w:w="60" w:type="dxa"/>
              <w:right w:w="110" w:type="dxa"/>
            </w:tcMar>
            <w:vAlign w:val="center"/>
          </w:tcPr>
          <w:p w14:paraId="0BA0AE91" w14:textId="218E384A"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6.67%</w:t>
            </w:r>
          </w:p>
        </w:tc>
        <w:tc>
          <w:tcPr>
            <w:tcW w:w="2132" w:type="dxa"/>
            <w:shd w:val="clear" w:color="auto" w:fill="FFFFFF"/>
            <w:tcMar>
              <w:top w:w="60" w:type="dxa"/>
              <w:left w:w="110" w:type="dxa"/>
              <w:bottom w:w="60" w:type="dxa"/>
              <w:right w:w="110" w:type="dxa"/>
            </w:tcMar>
            <w:vAlign w:val="center"/>
          </w:tcPr>
          <w:p w14:paraId="2E55A9C6" w14:textId="1EC206CC"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0.0135</w:t>
            </w:r>
          </w:p>
        </w:tc>
        <w:tc>
          <w:tcPr>
            <w:tcW w:w="1931" w:type="dxa"/>
            <w:shd w:val="clear" w:color="auto" w:fill="FFFFFF"/>
            <w:tcMar>
              <w:top w:w="60" w:type="dxa"/>
              <w:left w:w="110" w:type="dxa"/>
              <w:bottom w:w="60" w:type="dxa"/>
              <w:right w:w="110" w:type="dxa"/>
            </w:tcMar>
            <w:vAlign w:val="center"/>
          </w:tcPr>
          <w:p w14:paraId="275ED424" w14:textId="47EBEFFD"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0.3259</w:t>
            </w:r>
          </w:p>
        </w:tc>
      </w:tr>
      <w:tr w:rsidR="00D618CF" w:rsidRPr="00D11E00" w14:paraId="4B1ECE48" w14:textId="77777777" w:rsidTr="00B90E13">
        <w:trPr>
          <w:trHeight w:val="284"/>
        </w:trPr>
        <w:tc>
          <w:tcPr>
            <w:tcW w:w="1007" w:type="dxa"/>
            <w:shd w:val="clear" w:color="auto" w:fill="F5F5F5"/>
            <w:tcMar>
              <w:top w:w="60" w:type="dxa"/>
              <w:left w:w="110" w:type="dxa"/>
              <w:bottom w:w="60" w:type="dxa"/>
              <w:right w:w="110" w:type="dxa"/>
            </w:tcMar>
            <w:vAlign w:val="center"/>
          </w:tcPr>
          <w:p w14:paraId="3D986792" w14:textId="7CEAE4AE"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8</w:t>
            </w:r>
          </w:p>
        </w:tc>
        <w:tc>
          <w:tcPr>
            <w:tcW w:w="1686" w:type="dxa"/>
            <w:shd w:val="clear" w:color="auto" w:fill="F5F5F5"/>
            <w:tcMar>
              <w:top w:w="60" w:type="dxa"/>
              <w:left w:w="110" w:type="dxa"/>
              <w:bottom w:w="60" w:type="dxa"/>
              <w:right w:w="110" w:type="dxa"/>
            </w:tcMar>
            <w:vAlign w:val="center"/>
          </w:tcPr>
          <w:p w14:paraId="1ACA1C4A" w14:textId="5DF3357F"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0.818–0.860</w:t>
            </w:r>
          </w:p>
        </w:tc>
        <w:tc>
          <w:tcPr>
            <w:tcW w:w="1701" w:type="dxa"/>
            <w:shd w:val="clear" w:color="auto" w:fill="F5F5F5"/>
            <w:tcMar>
              <w:top w:w="60" w:type="dxa"/>
              <w:left w:w="110" w:type="dxa"/>
              <w:bottom w:w="60" w:type="dxa"/>
              <w:right w:w="110" w:type="dxa"/>
            </w:tcMar>
            <w:vAlign w:val="center"/>
          </w:tcPr>
          <w:p w14:paraId="56AC0AF6" w14:textId="11FA17B0"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9.98%</w:t>
            </w:r>
          </w:p>
        </w:tc>
        <w:tc>
          <w:tcPr>
            <w:tcW w:w="1598" w:type="dxa"/>
            <w:shd w:val="clear" w:color="auto" w:fill="F5F5F5"/>
            <w:tcMar>
              <w:top w:w="60" w:type="dxa"/>
              <w:left w:w="110" w:type="dxa"/>
              <w:bottom w:w="60" w:type="dxa"/>
              <w:right w:w="110" w:type="dxa"/>
            </w:tcMar>
            <w:vAlign w:val="center"/>
          </w:tcPr>
          <w:p w14:paraId="212D7588" w14:textId="30F2ED9A"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5.40%</w:t>
            </w:r>
          </w:p>
        </w:tc>
        <w:tc>
          <w:tcPr>
            <w:tcW w:w="2132" w:type="dxa"/>
            <w:shd w:val="clear" w:color="auto" w:fill="F5F5F5"/>
            <w:tcMar>
              <w:top w:w="60" w:type="dxa"/>
              <w:left w:w="110" w:type="dxa"/>
              <w:bottom w:w="60" w:type="dxa"/>
              <w:right w:w="110" w:type="dxa"/>
            </w:tcMar>
            <w:vAlign w:val="center"/>
          </w:tcPr>
          <w:p w14:paraId="6802A70A" w14:textId="62C8707B"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0.0281</w:t>
            </w:r>
          </w:p>
        </w:tc>
        <w:tc>
          <w:tcPr>
            <w:tcW w:w="1931" w:type="dxa"/>
            <w:shd w:val="clear" w:color="auto" w:fill="F5F5F5"/>
            <w:tcMar>
              <w:top w:w="60" w:type="dxa"/>
              <w:left w:w="110" w:type="dxa"/>
              <w:bottom w:w="60" w:type="dxa"/>
              <w:right w:w="110" w:type="dxa"/>
            </w:tcMar>
            <w:vAlign w:val="center"/>
          </w:tcPr>
          <w:p w14:paraId="48CF1328" w14:textId="363DA755"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0.3540</w:t>
            </w:r>
          </w:p>
        </w:tc>
      </w:tr>
      <w:tr w:rsidR="00D618CF" w:rsidRPr="00D11E00" w14:paraId="40367CD8" w14:textId="77777777" w:rsidTr="00B90E13">
        <w:trPr>
          <w:trHeight w:val="284"/>
        </w:trPr>
        <w:tc>
          <w:tcPr>
            <w:tcW w:w="1007" w:type="dxa"/>
            <w:shd w:val="clear" w:color="auto" w:fill="FFFFFF"/>
            <w:tcMar>
              <w:top w:w="60" w:type="dxa"/>
              <w:left w:w="110" w:type="dxa"/>
              <w:bottom w:w="60" w:type="dxa"/>
              <w:right w:w="110" w:type="dxa"/>
            </w:tcMar>
            <w:vAlign w:val="center"/>
          </w:tcPr>
          <w:p w14:paraId="77DC7772" w14:textId="72A78A4F"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9</w:t>
            </w:r>
          </w:p>
        </w:tc>
        <w:tc>
          <w:tcPr>
            <w:tcW w:w="1686" w:type="dxa"/>
            <w:shd w:val="clear" w:color="auto" w:fill="FFFFFF"/>
            <w:tcMar>
              <w:top w:w="60" w:type="dxa"/>
              <w:left w:w="110" w:type="dxa"/>
              <w:bottom w:w="60" w:type="dxa"/>
              <w:right w:w="110" w:type="dxa"/>
            </w:tcMar>
            <w:vAlign w:val="center"/>
          </w:tcPr>
          <w:p w14:paraId="5FDF41B4" w14:textId="4B5BB639"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0.860–0.915</w:t>
            </w:r>
          </w:p>
        </w:tc>
        <w:tc>
          <w:tcPr>
            <w:tcW w:w="1701" w:type="dxa"/>
            <w:shd w:val="clear" w:color="auto" w:fill="FFFFFF"/>
            <w:tcMar>
              <w:top w:w="60" w:type="dxa"/>
              <w:left w:w="110" w:type="dxa"/>
              <w:bottom w:w="60" w:type="dxa"/>
              <w:right w:w="110" w:type="dxa"/>
            </w:tcMar>
            <w:vAlign w:val="center"/>
          </w:tcPr>
          <w:p w14:paraId="12E888CF" w14:textId="48363102"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10.02%</w:t>
            </w:r>
          </w:p>
        </w:tc>
        <w:tc>
          <w:tcPr>
            <w:tcW w:w="1598" w:type="dxa"/>
            <w:shd w:val="clear" w:color="auto" w:fill="FFFFFF"/>
            <w:tcMar>
              <w:top w:w="60" w:type="dxa"/>
              <w:left w:w="110" w:type="dxa"/>
              <w:bottom w:w="60" w:type="dxa"/>
              <w:right w:w="110" w:type="dxa"/>
            </w:tcMar>
            <w:vAlign w:val="center"/>
          </w:tcPr>
          <w:p w14:paraId="7DD52EAF" w14:textId="247DC7EA"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4.17%</w:t>
            </w:r>
          </w:p>
        </w:tc>
        <w:tc>
          <w:tcPr>
            <w:tcW w:w="2132" w:type="dxa"/>
            <w:shd w:val="clear" w:color="auto" w:fill="FFFFFF"/>
            <w:tcMar>
              <w:top w:w="60" w:type="dxa"/>
              <w:left w:w="110" w:type="dxa"/>
              <w:bottom w:w="60" w:type="dxa"/>
              <w:right w:w="110" w:type="dxa"/>
            </w:tcMar>
            <w:vAlign w:val="center"/>
          </w:tcPr>
          <w:p w14:paraId="766CE655" w14:textId="0EA27532"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0.0514</w:t>
            </w:r>
          </w:p>
        </w:tc>
        <w:tc>
          <w:tcPr>
            <w:tcW w:w="1931" w:type="dxa"/>
            <w:shd w:val="clear" w:color="auto" w:fill="FFFFFF"/>
            <w:tcMar>
              <w:top w:w="60" w:type="dxa"/>
              <w:left w:w="110" w:type="dxa"/>
              <w:bottom w:w="60" w:type="dxa"/>
              <w:right w:w="110" w:type="dxa"/>
            </w:tcMar>
            <w:vAlign w:val="center"/>
          </w:tcPr>
          <w:p w14:paraId="4ACD4756" w14:textId="2B00601F"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0.4054</w:t>
            </w:r>
          </w:p>
        </w:tc>
      </w:tr>
      <w:tr w:rsidR="00D618CF" w:rsidRPr="00D11E00" w14:paraId="5EB87FA9" w14:textId="77777777" w:rsidTr="00B90E13">
        <w:trPr>
          <w:trHeight w:val="284"/>
        </w:trPr>
        <w:tc>
          <w:tcPr>
            <w:tcW w:w="1007" w:type="dxa"/>
            <w:shd w:val="clear" w:color="auto" w:fill="F5F5F5"/>
            <w:tcMar>
              <w:top w:w="60" w:type="dxa"/>
              <w:left w:w="110" w:type="dxa"/>
              <w:bottom w:w="60" w:type="dxa"/>
              <w:right w:w="110" w:type="dxa"/>
            </w:tcMar>
            <w:vAlign w:val="center"/>
          </w:tcPr>
          <w:p w14:paraId="056032B4" w14:textId="301B8087"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10</w:t>
            </w:r>
          </w:p>
        </w:tc>
        <w:tc>
          <w:tcPr>
            <w:tcW w:w="1686" w:type="dxa"/>
            <w:shd w:val="clear" w:color="auto" w:fill="F5F5F5"/>
            <w:tcMar>
              <w:top w:w="60" w:type="dxa"/>
              <w:left w:w="110" w:type="dxa"/>
              <w:bottom w:w="60" w:type="dxa"/>
              <w:right w:w="110" w:type="dxa"/>
            </w:tcMar>
            <w:vAlign w:val="center"/>
          </w:tcPr>
          <w:p w14:paraId="5685DAC3" w14:textId="71A45AE2"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0.915–0.990</w:t>
            </w:r>
          </w:p>
        </w:tc>
        <w:tc>
          <w:tcPr>
            <w:tcW w:w="1701" w:type="dxa"/>
            <w:shd w:val="clear" w:color="auto" w:fill="F5F5F5"/>
            <w:tcMar>
              <w:top w:w="60" w:type="dxa"/>
              <w:left w:w="110" w:type="dxa"/>
              <w:bottom w:w="60" w:type="dxa"/>
              <w:right w:w="110" w:type="dxa"/>
            </w:tcMar>
            <w:vAlign w:val="center"/>
          </w:tcPr>
          <w:p w14:paraId="68264D98" w14:textId="25F77904"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10.00%</w:t>
            </w:r>
          </w:p>
        </w:tc>
        <w:tc>
          <w:tcPr>
            <w:tcW w:w="1598" w:type="dxa"/>
            <w:shd w:val="clear" w:color="auto" w:fill="F5F5F5"/>
            <w:tcMar>
              <w:top w:w="60" w:type="dxa"/>
              <w:left w:w="110" w:type="dxa"/>
              <w:bottom w:w="60" w:type="dxa"/>
              <w:right w:w="110" w:type="dxa"/>
            </w:tcMar>
            <w:vAlign w:val="center"/>
          </w:tcPr>
          <w:p w14:paraId="207BA97F" w14:textId="33323629"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3.87%</w:t>
            </w:r>
          </w:p>
        </w:tc>
        <w:tc>
          <w:tcPr>
            <w:tcW w:w="2132" w:type="dxa"/>
            <w:shd w:val="clear" w:color="auto" w:fill="F5F5F5"/>
            <w:tcMar>
              <w:top w:w="60" w:type="dxa"/>
              <w:left w:w="110" w:type="dxa"/>
              <w:bottom w:w="60" w:type="dxa"/>
              <w:right w:w="110" w:type="dxa"/>
            </w:tcMar>
            <w:vAlign w:val="center"/>
          </w:tcPr>
          <w:p w14:paraId="4322287B" w14:textId="4E47A9E9"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0.0583</w:t>
            </w:r>
          </w:p>
        </w:tc>
        <w:tc>
          <w:tcPr>
            <w:tcW w:w="1931" w:type="dxa"/>
            <w:shd w:val="clear" w:color="auto" w:fill="F5F5F5"/>
            <w:tcMar>
              <w:top w:w="60" w:type="dxa"/>
              <w:left w:w="110" w:type="dxa"/>
              <w:bottom w:w="60" w:type="dxa"/>
              <w:right w:w="110" w:type="dxa"/>
            </w:tcMar>
            <w:vAlign w:val="center"/>
          </w:tcPr>
          <w:p w14:paraId="1077CB22" w14:textId="0A99C931"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0.4637</w:t>
            </w:r>
          </w:p>
        </w:tc>
      </w:tr>
      <w:tr w:rsidR="00D618CF" w:rsidRPr="00D11E00" w14:paraId="431D6733" w14:textId="77777777" w:rsidTr="00B90E13">
        <w:trPr>
          <w:trHeight w:val="284"/>
        </w:trPr>
        <w:tc>
          <w:tcPr>
            <w:tcW w:w="1007" w:type="dxa"/>
            <w:shd w:val="clear" w:color="auto" w:fill="FFFFFF"/>
            <w:tcMar>
              <w:top w:w="60" w:type="dxa"/>
              <w:left w:w="110" w:type="dxa"/>
              <w:bottom w:w="60" w:type="dxa"/>
              <w:right w:w="110" w:type="dxa"/>
            </w:tcMar>
            <w:vAlign w:val="center"/>
          </w:tcPr>
          <w:p w14:paraId="67066BF4" w14:textId="3FE89129" w:rsidR="00D618CF" w:rsidRPr="00D618CF" w:rsidRDefault="00D618CF" w:rsidP="00D618CF">
            <w:pPr>
              <w:rPr>
                <w:rFonts w:ascii="Times New Roman" w:hAnsi="Times New Roman" w:cs="Times New Roman"/>
                <w:sz w:val="24"/>
                <w:szCs w:val="24"/>
              </w:rPr>
            </w:pPr>
            <w:r w:rsidRPr="00D618CF">
              <w:rPr>
                <w:rStyle w:val="ac"/>
                <w:rFonts w:ascii="Times New Roman" w:hAnsi="Times New Roman" w:cs="Times New Roman"/>
                <w:color w:val="0F1115"/>
                <w:sz w:val="24"/>
                <w:szCs w:val="24"/>
              </w:rPr>
              <w:t>Total</w:t>
            </w:r>
          </w:p>
        </w:tc>
        <w:tc>
          <w:tcPr>
            <w:tcW w:w="1686" w:type="dxa"/>
            <w:shd w:val="clear" w:color="auto" w:fill="FFFFFF"/>
            <w:tcMar>
              <w:top w:w="60" w:type="dxa"/>
              <w:left w:w="110" w:type="dxa"/>
              <w:bottom w:w="60" w:type="dxa"/>
              <w:right w:w="110" w:type="dxa"/>
            </w:tcMar>
            <w:vAlign w:val="center"/>
          </w:tcPr>
          <w:p w14:paraId="7C686F9D" w14:textId="531F34D2"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w:t>
            </w:r>
          </w:p>
        </w:tc>
        <w:tc>
          <w:tcPr>
            <w:tcW w:w="1701" w:type="dxa"/>
            <w:shd w:val="clear" w:color="auto" w:fill="FFFFFF"/>
            <w:tcMar>
              <w:top w:w="60" w:type="dxa"/>
              <w:left w:w="110" w:type="dxa"/>
              <w:bottom w:w="60" w:type="dxa"/>
              <w:right w:w="110" w:type="dxa"/>
            </w:tcMar>
            <w:vAlign w:val="center"/>
          </w:tcPr>
          <w:p w14:paraId="4D8EE387" w14:textId="2880330C"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100.00%</w:t>
            </w:r>
          </w:p>
        </w:tc>
        <w:tc>
          <w:tcPr>
            <w:tcW w:w="1598" w:type="dxa"/>
            <w:shd w:val="clear" w:color="auto" w:fill="FFFFFF"/>
            <w:tcMar>
              <w:top w:w="60" w:type="dxa"/>
              <w:left w:w="110" w:type="dxa"/>
              <w:bottom w:w="60" w:type="dxa"/>
              <w:right w:w="110" w:type="dxa"/>
            </w:tcMar>
            <w:vAlign w:val="center"/>
          </w:tcPr>
          <w:p w14:paraId="7DBB97DE" w14:textId="1A7F5908" w:rsidR="00D618CF" w:rsidRPr="00D618CF" w:rsidRDefault="00D618CF" w:rsidP="00D618CF">
            <w:pPr>
              <w:rPr>
                <w:rFonts w:ascii="Times New Roman" w:hAnsi="Times New Roman" w:cs="Times New Roman"/>
                <w:sz w:val="24"/>
                <w:szCs w:val="24"/>
              </w:rPr>
            </w:pPr>
            <w:r w:rsidRPr="00D618CF">
              <w:rPr>
                <w:rFonts w:ascii="Times New Roman" w:hAnsi="Times New Roman" w:cs="Times New Roman"/>
                <w:color w:val="0F1115"/>
                <w:sz w:val="24"/>
                <w:szCs w:val="24"/>
              </w:rPr>
              <w:t>100.00%</w:t>
            </w:r>
          </w:p>
        </w:tc>
        <w:tc>
          <w:tcPr>
            <w:tcW w:w="2132" w:type="dxa"/>
            <w:shd w:val="clear" w:color="auto" w:fill="FFFFFF"/>
            <w:tcMar>
              <w:top w:w="60" w:type="dxa"/>
              <w:left w:w="110" w:type="dxa"/>
              <w:bottom w:w="60" w:type="dxa"/>
              <w:right w:w="110" w:type="dxa"/>
            </w:tcMar>
            <w:vAlign w:val="center"/>
          </w:tcPr>
          <w:p w14:paraId="20BE1A15" w14:textId="39DE2630" w:rsidR="00D618CF" w:rsidRPr="00D618CF" w:rsidRDefault="00D618CF" w:rsidP="00D618CF">
            <w:pPr>
              <w:rPr>
                <w:rFonts w:ascii="Times New Roman" w:hAnsi="Times New Roman" w:cs="Times New Roman"/>
                <w:b/>
                <w:bCs/>
                <w:sz w:val="24"/>
                <w:szCs w:val="24"/>
              </w:rPr>
            </w:pPr>
            <w:r w:rsidRPr="00D618CF">
              <w:rPr>
                <w:rStyle w:val="ac"/>
                <w:rFonts w:ascii="Times New Roman" w:hAnsi="Times New Roman" w:cs="Times New Roman"/>
                <w:b w:val="0"/>
                <w:bCs w:val="0"/>
                <w:color w:val="0F1115"/>
                <w:sz w:val="24"/>
                <w:szCs w:val="24"/>
              </w:rPr>
              <w:t>0.4637</w:t>
            </w:r>
          </w:p>
        </w:tc>
        <w:tc>
          <w:tcPr>
            <w:tcW w:w="1931" w:type="dxa"/>
            <w:shd w:val="clear" w:color="auto" w:fill="FFFFFF"/>
            <w:tcMar>
              <w:top w:w="60" w:type="dxa"/>
              <w:left w:w="110" w:type="dxa"/>
              <w:bottom w:w="60" w:type="dxa"/>
              <w:right w:w="110" w:type="dxa"/>
            </w:tcMar>
            <w:vAlign w:val="center"/>
          </w:tcPr>
          <w:p w14:paraId="37FB69FA" w14:textId="343C6455" w:rsidR="00D618CF" w:rsidRPr="00D618CF" w:rsidRDefault="00D618CF" w:rsidP="00D618CF">
            <w:pPr>
              <w:rPr>
                <w:rFonts w:ascii="Times New Roman" w:hAnsi="Times New Roman" w:cs="Times New Roman"/>
                <w:b/>
                <w:bCs/>
                <w:color w:val="EE0000"/>
                <w:sz w:val="24"/>
                <w:szCs w:val="24"/>
              </w:rPr>
            </w:pPr>
            <w:r w:rsidRPr="00D618CF">
              <w:rPr>
                <w:rStyle w:val="ac"/>
                <w:rFonts w:ascii="Times New Roman" w:hAnsi="Times New Roman" w:cs="Times New Roman"/>
                <w:b w:val="0"/>
                <w:bCs w:val="0"/>
                <w:color w:val="EE0000"/>
                <w:sz w:val="24"/>
                <w:szCs w:val="24"/>
              </w:rPr>
              <w:t>RED</w:t>
            </w:r>
          </w:p>
        </w:tc>
      </w:tr>
    </w:tbl>
    <w:p w14:paraId="6605AEDB" w14:textId="77777777" w:rsidR="000C08DA" w:rsidRPr="000C08DA" w:rsidRDefault="000C08DA" w:rsidP="000C08DA">
      <w:pPr>
        <w:widowControl/>
        <w:jc w:val="both"/>
        <w:rPr>
          <w:rFonts w:ascii="Times New Roman" w:eastAsia="Arial" w:hAnsi="Times New Roman" w:cs="Times New Roman"/>
          <w:sz w:val="24"/>
          <w:szCs w:val="24"/>
        </w:rPr>
      </w:pPr>
      <w:r w:rsidRPr="000C08DA">
        <w:rPr>
          <w:rFonts w:ascii="Times New Roman" w:eastAsia="Arial" w:hAnsi="Times New Roman" w:cs="Times New Roman"/>
          <w:sz w:val="24"/>
          <w:szCs w:val="24"/>
        </w:rPr>
        <w:t>Interpretation:</w:t>
      </w:r>
    </w:p>
    <w:p w14:paraId="00C6E0DE" w14:textId="14D5E270" w:rsidR="000C08DA" w:rsidRDefault="00D618CF" w:rsidP="000C08DA">
      <w:pPr>
        <w:widowControl/>
        <w:jc w:val="both"/>
        <w:rPr>
          <w:rFonts w:ascii="Times New Roman" w:hAnsi="Times New Roman" w:cs="Times New Roman"/>
          <w:sz w:val="24"/>
          <w:szCs w:val="24"/>
        </w:rPr>
      </w:pPr>
      <w:r w:rsidRPr="00D618CF">
        <w:rPr>
          <w:rFonts w:ascii="Times New Roman" w:eastAsia="Arial" w:hAnsi="Times New Roman" w:cs="Times New Roman"/>
          <w:sz w:val="24"/>
          <w:szCs w:val="24"/>
        </w:rPr>
        <w:t>Total PSI = 0.464 exceeds both OCC critical (0.25) and MAS critical (0.20). The dominant driver is Bucket 1 (lowest scores), which grew from 10% to 32.9% of applicants, reflecting a much more credit</w:t>
      </w:r>
      <w:r w:rsidRPr="00D618CF">
        <w:rPr>
          <w:rFonts w:ascii="Times New Roman" w:eastAsia="Arial" w:hAnsi="Times New Roman" w:cs="Times New Roman"/>
          <w:sz w:val="24"/>
          <w:szCs w:val="24"/>
        </w:rPr>
        <w:noBreakHyphen/>
        <w:t>stressed live population.</w:t>
      </w:r>
    </w:p>
    <w:p w14:paraId="7654CBA5" w14:textId="77777777" w:rsidR="00D618CF" w:rsidRPr="00D618CF" w:rsidRDefault="00D618CF" w:rsidP="000C08DA">
      <w:pPr>
        <w:widowControl/>
        <w:jc w:val="both"/>
        <w:rPr>
          <w:rFonts w:ascii="Times New Roman" w:hAnsi="Times New Roman" w:cs="Times New Roman"/>
          <w:sz w:val="24"/>
          <w:szCs w:val="24"/>
        </w:rPr>
      </w:pPr>
    </w:p>
    <w:p w14:paraId="5682AD0C" w14:textId="0A232173" w:rsidR="00655B8C" w:rsidRPr="000C08DA" w:rsidRDefault="00E042EA" w:rsidP="000C08DA">
      <w:pPr>
        <w:widowControl/>
        <w:jc w:val="both"/>
        <w:rPr>
          <w:rFonts w:ascii="Times New Roman" w:hAnsi="Times New Roman" w:cs="Times New Roman"/>
          <w:sz w:val="24"/>
          <w:szCs w:val="24"/>
        </w:rPr>
      </w:pPr>
      <w:r w:rsidRPr="00D11E00">
        <w:rPr>
          <w:rFonts w:ascii="Times New Roman" w:hAnsi="Times New Roman" w:cs="Times New Roman"/>
          <w:b/>
          <w:bCs/>
          <w:sz w:val="24"/>
          <w:szCs w:val="24"/>
        </w:rPr>
        <w:t>4</w:t>
      </w:r>
      <w:r w:rsidR="000C08DA">
        <w:rPr>
          <w:rFonts w:ascii="Times New Roman" w:hAnsi="Times New Roman" w:cs="Times New Roman" w:hint="eastAsia"/>
          <w:b/>
          <w:bCs/>
          <w:sz w:val="24"/>
          <w:szCs w:val="24"/>
        </w:rPr>
        <w:t>.2</w:t>
      </w:r>
      <w:r w:rsidRPr="00D11E00">
        <w:rPr>
          <w:rFonts w:ascii="Times New Roman" w:hAnsi="Times New Roman" w:cs="Times New Roman"/>
          <w:b/>
          <w:bCs/>
          <w:sz w:val="24"/>
          <w:szCs w:val="24"/>
        </w:rPr>
        <w:t xml:space="preserve"> Performance Time Series</w:t>
      </w:r>
    </w:p>
    <w:tbl>
      <w:tblPr>
        <w:tblW w:w="10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8"/>
        <w:gridCol w:w="890"/>
        <w:gridCol w:w="890"/>
        <w:gridCol w:w="1415"/>
        <w:gridCol w:w="1548"/>
        <w:gridCol w:w="3882"/>
      </w:tblGrid>
      <w:tr w:rsidR="00D11E00" w:rsidRPr="00D11E00" w14:paraId="2D98216A" w14:textId="77777777" w:rsidTr="004B1A43">
        <w:trPr>
          <w:trHeight w:val="265"/>
        </w:trPr>
        <w:tc>
          <w:tcPr>
            <w:tcW w:w="1458" w:type="dxa"/>
            <w:shd w:val="clear" w:color="auto" w:fill="1B3A6B"/>
            <w:tcMar>
              <w:top w:w="80" w:type="dxa"/>
              <w:left w:w="110" w:type="dxa"/>
              <w:bottom w:w="80" w:type="dxa"/>
              <w:right w:w="110" w:type="dxa"/>
            </w:tcMar>
          </w:tcPr>
          <w:p w14:paraId="6ECF8D84"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Month</w:t>
            </w:r>
          </w:p>
        </w:tc>
        <w:tc>
          <w:tcPr>
            <w:tcW w:w="890" w:type="dxa"/>
            <w:shd w:val="clear" w:color="auto" w:fill="1B3A6B"/>
            <w:tcMar>
              <w:top w:w="80" w:type="dxa"/>
              <w:left w:w="110" w:type="dxa"/>
              <w:bottom w:w="80" w:type="dxa"/>
              <w:right w:w="110" w:type="dxa"/>
            </w:tcMar>
          </w:tcPr>
          <w:p w14:paraId="2B74F7F1"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AUC</w:t>
            </w:r>
          </w:p>
        </w:tc>
        <w:tc>
          <w:tcPr>
            <w:tcW w:w="890" w:type="dxa"/>
            <w:shd w:val="clear" w:color="auto" w:fill="1B3A6B"/>
            <w:tcMar>
              <w:top w:w="80" w:type="dxa"/>
              <w:left w:w="110" w:type="dxa"/>
              <w:bottom w:w="80" w:type="dxa"/>
              <w:right w:w="110" w:type="dxa"/>
            </w:tcMar>
          </w:tcPr>
          <w:p w14:paraId="41589D1C"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PSI</w:t>
            </w:r>
          </w:p>
        </w:tc>
        <w:tc>
          <w:tcPr>
            <w:tcW w:w="1415" w:type="dxa"/>
            <w:shd w:val="clear" w:color="auto" w:fill="1B3A6B"/>
            <w:tcMar>
              <w:top w:w="80" w:type="dxa"/>
              <w:left w:w="110" w:type="dxa"/>
              <w:bottom w:w="80" w:type="dxa"/>
              <w:right w:w="110" w:type="dxa"/>
            </w:tcMar>
          </w:tcPr>
          <w:p w14:paraId="7F901CBA"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OCC Alert</w:t>
            </w:r>
          </w:p>
        </w:tc>
        <w:tc>
          <w:tcPr>
            <w:tcW w:w="1548" w:type="dxa"/>
            <w:shd w:val="clear" w:color="auto" w:fill="1B3A6B"/>
            <w:tcMar>
              <w:top w:w="80" w:type="dxa"/>
              <w:left w:w="110" w:type="dxa"/>
              <w:bottom w:w="80" w:type="dxa"/>
              <w:right w:w="110" w:type="dxa"/>
            </w:tcMar>
          </w:tcPr>
          <w:p w14:paraId="56AAF871" w14:textId="77777777" w:rsidR="00655B8C" w:rsidRPr="00D11E00" w:rsidRDefault="00000000" w:rsidP="00D11E00">
            <w:pPr>
              <w:rPr>
                <w:rFonts w:ascii="Times New Roman" w:hAnsi="Times New Roman" w:cs="Times New Roman"/>
                <w:sz w:val="24"/>
                <w:szCs w:val="24"/>
              </w:rPr>
            </w:pPr>
            <w:r w:rsidRPr="00D11E00">
              <w:rPr>
                <w:rFonts w:ascii="Times New Roman" w:eastAsia="Arial" w:hAnsi="Times New Roman" w:cs="Times New Roman"/>
                <w:b/>
                <w:bCs/>
                <w:sz w:val="24"/>
                <w:szCs w:val="24"/>
              </w:rPr>
              <w:t>MAS Alert</w:t>
            </w:r>
          </w:p>
        </w:tc>
        <w:tc>
          <w:tcPr>
            <w:tcW w:w="3882" w:type="dxa"/>
            <w:shd w:val="clear" w:color="auto" w:fill="1B3A6B"/>
            <w:tcMar>
              <w:top w:w="80" w:type="dxa"/>
              <w:left w:w="110" w:type="dxa"/>
              <w:bottom w:w="80" w:type="dxa"/>
              <w:right w:w="110" w:type="dxa"/>
            </w:tcMar>
          </w:tcPr>
          <w:p w14:paraId="7809DE0A" w14:textId="77777777" w:rsidR="00655B8C" w:rsidRPr="00D11E00" w:rsidRDefault="00000000" w:rsidP="00D11E00">
            <w:pPr>
              <w:rPr>
                <w:rFonts w:ascii="Times New Roman" w:hAnsi="Times New Roman" w:cs="Times New Roman"/>
                <w:sz w:val="24"/>
                <w:szCs w:val="24"/>
              </w:rPr>
            </w:pPr>
            <w:proofErr w:type="spellStart"/>
            <w:r w:rsidRPr="00D11E00">
              <w:rPr>
                <w:rFonts w:ascii="Times New Roman" w:eastAsia="Arial" w:hAnsi="Times New Roman" w:cs="Times New Roman"/>
                <w:b/>
                <w:bCs/>
                <w:sz w:val="24"/>
                <w:szCs w:val="24"/>
              </w:rPr>
              <w:t>VeridianMRM</w:t>
            </w:r>
            <w:proofErr w:type="spellEnd"/>
            <w:r w:rsidRPr="00D11E00">
              <w:rPr>
                <w:rFonts w:ascii="Times New Roman" w:eastAsia="Arial" w:hAnsi="Times New Roman" w:cs="Times New Roman"/>
                <w:b/>
                <w:bCs/>
                <w:sz w:val="24"/>
                <w:szCs w:val="24"/>
              </w:rPr>
              <w:t xml:space="preserve"> Trigger</w:t>
            </w:r>
          </w:p>
        </w:tc>
      </w:tr>
      <w:tr w:rsidR="004B1A43" w:rsidRPr="004B1A43" w14:paraId="72C7C7B3" w14:textId="77777777" w:rsidTr="004B1A43">
        <w:trPr>
          <w:trHeight w:val="499"/>
        </w:trPr>
        <w:tc>
          <w:tcPr>
            <w:tcW w:w="1458" w:type="dxa"/>
            <w:shd w:val="clear" w:color="auto" w:fill="FFFFFF"/>
            <w:tcMar>
              <w:top w:w="60" w:type="dxa"/>
              <w:left w:w="110" w:type="dxa"/>
              <w:bottom w:w="60" w:type="dxa"/>
              <w:right w:w="110" w:type="dxa"/>
            </w:tcMar>
          </w:tcPr>
          <w:p w14:paraId="4046BC0B"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Jan 2022</w:t>
            </w:r>
          </w:p>
        </w:tc>
        <w:tc>
          <w:tcPr>
            <w:tcW w:w="890" w:type="dxa"/>
            <w:shd w:val="clear" w:color="auto" w:fill="FFFFFF"/>
            <w:tcMar>
              <w:top w:w="60" w:type="dxa"/>
              <w:left w:w="110" w:type="dxa"/>
              <w:bottom w:w="60" w:type="dxa"/>
              <w:right w:w="110" w:type="dxa"/>
            </w:tcMar>
            <w:vAlign w:val="center"/>
          </w:tcPr>
          <w:p w14:paraId="74A8D858" w14:textId="4A626919"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0.7787</w:t>
            </w:r>
          </w:p>
        </w:tc>
        <w:tc>
          <w:tcPr>
            <w:tcW w:w="890" w:type="dxa"/>
            <w:shd w:val="clear" w:color="auto" w:fill="FFFFFF"/>
            <w:tcMar>
              <w:top w:w="60" w:type="dxa"/>
              <w:left w:w="110" w:type="dxa"/>
              <w:bottom w:w="60" w:type="dxa"/>
              <w:right w:w="110" w:type="dxa"/>
            </w:tcMar>
            <w:vAlign w:val="center"/>
          </w:tcPr>
          <w:p w14:paraId="0C80ACD2" w14:textId="4DBBCAF5"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0.0015</w:t>
            </w:r>
          </w:p>
        </w:tc>
        <w:tc>
          <w:tcPr>
            <w:tcW w:w="1415" w:type="dxa"/>
            <w:shd w:val="clear" w:color="auto" w:fill="FFFFFF"/>
            <w:tcMar>
              <w:top w:w="60" w:type="dxa"/>
              <w:left w:w="110" w:type="dxa"/>
              <w:bottom w:w="60" w:type="dxa"/>
              <w:right w:w="110" w:type="dxa"/>
            </w:tcMar>
          </w:tcPr>
          <w:p w14:paraId="3F72A9B7" w14:textId="77777777" w:rsidR="004B1A43" w:rsidRPr="004B1A43" w:rsidRDefault="004B1A43" w:rsidP="004B1A43">
            <w:pPr>
              <w:rPr>
                <w:rFonts w:ascii="Times New Roman" w:hAnsi="Times New Roman" w:cs="Times New Roman"/>
                <w:color w:val="385623" w:themeColor="accent6" w:themeShade="80"/>
                <w:sz w:val="24"/>
                <w:szCs w:val="24"/>
              </w:rPr>
            </w:pPr>
            <w:r w:rsidRPr="004B1A43">
              <w:rPr>
                <w:rFonts w:ascii="Times New Roman" w:eastAsia="Arial" w:hAnsi="Times New Roman" w:cs="Times New Roman"/>
                <w:color w:val="385623" w:themeColor="accent6" w:themeShade="80"/>
                <w:sz w:val="24"/>
                <w:szCs w:val="24"/>
              </w:rPr>
              <w:t>GREEN</w:t>
            </w:r>
          </w:p>
        </w:tc>
        <w:tc>
          <w:tcPr>
            <w:tcW w:w="1548" w:type="dxa"/>
            <w:shd w:val="clear" w:color="auto" w:fill="FFFFFF"/>
            <w:tcMar>
              <w:top w:w="60" w:type="dxa"/>
              <w:left w:w="110" w:type="dxa"/>
              <w:bottom w:w="60" w:type="dxa"/>
              <w:right w:w="110" w:type="dxa"/>
            </w:tcMar>
          </w:tcPr>
          <w:p w14:paraId="2CE59884" w14:textId="77777777" w:rsidR="004B1A43" w:rsidRPr="004B1A43" w:rsidRDefault="004B1A43" w:rsidP="004B1A43">
            <w:pPr>
              <w:rPr>
                <w:rFonts w:ascii="Times New Roman" w:hAnsi="Times New Roman" w:cs="Times New Roman"/>
                <w:color w:val="385623" w:themeColor="accent6" w:themeShade="80"/>
                <w:sz w:val="24"/>
                <w:szCs w:val="24"/>
              </w:rPr>
            </w:pPr>
            <w:r w:rsidRPr="004B1A43">
              <w:rPr>
                <w:rFonts w:ascii="Times New Roman" w:eastAsia="Arial" w:hAnsi="Times New Roman" w:cs="Times New Roman"/>
                <w:color w:val="385623" w:themeColor="accent6" w:themeShade="80"/>
                <w:sz w:val="24"/>
                <w:szCs w:val="24"/>
              </w:rPr>
              <w:t>GREEN</w:t>
            </w:r>
          </w:p>
        </w:tc>
        <w:tc>
          <w:tcPr>
            <w:tcW w:w="3882" w:type="dxa"/>
            <w:shd w:val="clear" w:color="auto" w:fill="FFFFFF"/>
            <w:tcMar>
              <w:top w:w="60" w:type="dxa"/>
              <w:left w:w="110" w:type="dxa"/>
              <w:bottom w:w="60" w:type="dxa"/>
              <w:right w:w="110" w:type="dxa"/>
            </w:tcMar>
          </w:tcPr>
          <w:p w14:paraId="7F18BAEB"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No action</w:t>
            </w:r>
          </w:p>
        </w:tc>
      </w:tr>
      <w:tr w:rsidR="004B1A43" w:rsidRPr="004B1A43" w14:paraId="33FD1B2D" w14:textId="77777777" w:rsidTr="004B1A43">
        <w:trPr>
          <w:trHeight w:val="555"/>
        </w:trPr>
        <w:tc>
          <w:tcPr>
            <w:tcW w:w="1458" w:type="dxa"/>
            <w:shd w:val="clear" w:color="auto" w:fill="F5F5F5"/>
            <w:tcMar>
              <w:top w:w="60" w:type="dxa"/>
              <w:left w:w="110" w:type="dxa"/>
              <w:bottom w:w="60" w:type="dxa"/>
              <w:right w:w="110" w:type="dxa"/>
            </w:tcMar>
          </w:tcPr>
          <w:p w14:paraId="75450174"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Jan 2024</w:t>
            </w:r>
          </w:p>
        </w:tc>
        <w:tc>
          <w:tcPr>
            <w:tcW w:w="890" w:type="dxa"/>
            <w:shd w:val="clear" w:color="auto" w:fill="F5F5F5"/>
            <w:tcMar>
              <w:top w:w="60" w:type="dxa"/>
              <w:left w:w="110" w:type="dxa"/>
              <w:bottom w:w="60" w:type="dxa"/>
              <w:right w:w="110" w:type="dxa"/>
            </w:tcMar>
            <w:vAlign w:val="center"/>
          </w:tcPr>
          <w:p w14:paraId="7355C0D7" w14:textId="675E4E33"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0.7698</w:t>
            </w:r>
          </w:p>
        </w:tc>
        <w:tc>
          <w:tcPr>
            <w:tcW w:w="890" w:type="dxa"/>
            <w:shd w:val="clear" w:color="auto" w:fill="F5F5F5"/>
            <w:tcMar>
              <w:top w:w="60" w:type="dxa"/>
              <w:left w:w="110" w:type="dxa"/>
              <w:bottom w:w="60" w:type="dxa"/>
              <w:right w:w="110" w:type="dxa"/>
            </w:tcMar>
            <w:vAlign w:val="center"/>
          </w:tcPr>
          <w:p w14:paraId="3BD3E221" w14:textId="7C6DEBEE"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0.0251</w:t>
            </w:r>
          </w:p>
        </w:tc>
        <w:tc>
          <w:tcPr>
            <w:tcW w:w="1415" w:type="dxa"/>
            <w:shd w:val="clear" w:color="auto" w:fill="F5F5F5"/>
            <w:tcMar>
              <w:top w:w="60" w:type="dxa"/>
              <w:left w:w="110" w:type="dxa"/>
              <w:bottom w:w="60" w:type="dxa"/>
              <w:right w:w="110" w:type="dxa"/>
            </w:tcMar>
          </w:tcPr>
          <w:p w14:paraId="4A96E6BA" w14:textId="77777777" w:rsidR="004B1A43" w:rsidRPr="004B1A43" w:rsidRDefault="004B1A43" w:rsidP="004B1A43">
            <w:pPr>
              <w:rPr>
                <w:rFonts w:ascii="Times New Roman" w:hAnsi="Times New Roman" w:cs="Times New Roman"/>
                <w:color w:val="385623" w:themeColor="accent6" w:themeShade="80"/>
                <w:sz w:val="24"/>
                <w:szCs w:val="24"/>
              </w:rPr>
            </w:pPr>
            <w:r w:rsidRPr="004B1A43">
              <w:rPr>
                <w:rFonts w:ascii="Times New Roman" w:eastAsia="Arial" w:hAnsi="Times New Roman" w:cs="Times New Roman"/>
                <w:color w:val="385623" w:themeColor="accent6" w:themeShade="80"/>
                <w:sz w:val="24"/>
                <w:szCs w:val="24"/>
              </w:rPr>
              <w:t>GREEN</w:t>
            </w:r>
          </w:p>
        </w:tc>
        <w:tc>
          <w:tcPr>
            <w:tcW w:w="1548" w:type="dxa"/>
            <w:shd w:val="clear" w:color="auto" w:fill="F5F5F5"/>
            <w:tcMar>
              <w:top w:w="60" w:type="dxa"/>
              <w:left w:w="110" w:type="dxa"/>
              <w:bottom w:w="60" w:type="dxa"/>
              <w:right w:w="110" w:type="dxa"/>
            </w:tcMar>
          </w:tcPr>
          <w:p w14:paraId="1A1E4623" w14:textId="77777777" w:rsidR="004B1A43" w:rsidRPr="004B1A43" w:rsidRDefault="004B1A43" w:rsidP="004B1A43">
            <w:pPr>
              <w:rPr>
                <w:rFonts w:ascii="Times New Roman" w:hAnsi="Times New Roman" w:cs="Times New Roman"/>
                <w:color w:val="385623" w:themeColor="accent6" w:themeShade="80"/>
                <w:sz w:val="24"/>
                <w:szCs w:val="24"/>
              </w:rPr>
            </w:pPr>
            <w:r w:rsidRPr="004B1A43">
              <w:rPr>
                <w:rFonts w:ascii="Times New Roman" w:eastAsia="Arial" w:hAnsi="Times New Roman" w:cs="Times New Roman"/>
                <w:color w:val="385623" w:themeColor="accent6" w:themeShade="80"/>
                <w:sz w:val="24"/>
                <w:szCs w:val="24"/>
              </w:rPr>
              <w:t>GREEN</w:t>
            </w:r>
          </w:p>
        </w:tc>
        <w:tc>
          <w:tcPr>
            <w:tcW w:w="3882" w:type="dxa"/>
            <w:shd w:val="clear" w:color="auto" w:fill="F5F5F5"/>
            <w:tcMar>
              <w:top w:w="60" w:type="dxa"/>
              <w:left w:w="110" w:type="dxa"/>
              <w:bottom w:w="60" w:type="dxa"/>
              <w:right w:w="110" w:type="dxa"/>
            </w:tcMar>
          </w:tcPr>
          <w:p w14:paraId="16757B05"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Drift begins but below both thresholds</w:t>
            </w:r>
          </w:p>
        </w:tc>
      </w:tr>
      <w:tr w:rsidR="004B1A43" w:rsidRPr="004B1A43" w14:paraId="08FAD6BD" w14:textId="77777777" w:rsidTr="00007FE0">
        <w:trPr>
          <w:trHeight w:val="555"/>
        </w:trPr>
        <w:tc>
          <w:tcPr>
            <w:tcW w:w="1458" w:type="dxa"/>
            <w:shd w:val="clear" w:color="auto" w:fill="FFFFFF"/>
            <w:tcMar>
              <w:top w:w="60" w:type="dxa"/>
              <w:left w:w="110" w:type="dxa"/>
              <w:bottom w:w="60" w:type="dxa"/>
              <w:right w:w="110" w:type="dxa"/>
            </w:tcMar>
          </w:tcPr>
          <w:p w14:paraId="10085535"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Apr 2025</w:t>
            </w:r>
          </w:p>
        </w:tc>
        <w:tc>
          <w:tcPr>
            <w:tcW w:w="890" w:type="dxa"/>
            <w:shd w:val="clear" w:color="auto" w:fill="FFFFFF"/>
            <w:tcMar>
              <w:top w:w="60" w:type="dxa"/>
              <w:left w:w="110" w:type="dxa"/>
              <w:bottom w:w="60" w:type="dxa"/>
              <w:right w:w="110" w:type="dxa"/>
            </w:tcMar>
            <w:vAlign w:val="center"/>
          </w:tcPr>
          <w:p w14:paraId="2AB98D26" w14:textId="7FDD505D"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0.7686</w:t>
            </w:r>
          </w:p>
        </w:tc>
        <w:tc>
          <w:tcPr>
            <w:tcW w:w="890" w:type="dxa"/>
            <w:shd w:val="clear" w:color="auto" w:fill="FFFFFF"/>
            <w:tcMar>
              <w:top w:w="60" w:type="dxa"/>
              <w:left w:w="110" w:type="dxa"/>
              <w:bottom w:w="60" w:type="dxa"/>
              <w:right w:w="110" w:type="dxa"/>
            </w:tcMar>
            <w:vAlign w:val="center"/>
          </w:tcPr>
          <w:p w14:paraId="2B68BBCE" w14:textId="6DE477A0"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0.1038</w:t>
            </w:r>
          </w:p>
        </w:tc>
        <w:tc>
          <w:tcPr>
            <w:tcW w:w="1415" w:type="dxa"/>
            <w:shd w:val="clear" w:color="auto" w:fill="FFFFFF"/>
            <w:tcMar>
              <w:top w:w="60" w:type="dxa"/>
              <w:left w:w="110" w:type="dxa"/>
              <w:bottom w:w="60" w:type="dxa"/>
              <w:right w:w="110" w:type="dxa"/>
            </w:tcMar>
          </w:tcPr>
          <w:p w14:paraId="6BF98EDF" w14:textId="77777777" w:rsidR="004B1A43" w:rsidRPr="004B1A43" w:rsidRDefault="004B1A43" w:rsidP="004B1A43">
            <w:pPr>
              <w:rPr>
                <w:rFonts w:ascii="Times New Roman" w:hAnsi="Times New Roman" w:cs="Times New Roman"/>
                <w:color w:val="385623" w:themeColor="accent6" w:themeShade="80"/>
                <w:sz w:val="24"/>
                <w:szCs w:val="24"/>
              </w:rPr>
            </w:pPr>
            <w:r w:rsidRPr="004B1A43">
              <w:rPr>
                <w:rFonts w:ascii="Times New Roman" w:eastAsia="Arial" w:hAnsi="Times New Roman" w:cs="Times New Roman"/>
                <w:color w:val="385623" w:themeColor="accent6" w:themeShade="80"/>
                <w:sz w:val="24"/>
                <w:szCs w:val="24"/>
              </w:rPr>
              <w:t>GREEN</w:t>
            </w:r>
          </w:p>
        </w:tc>
        <w:tc>
          <w:tcPr>
            <w:tcW w:w="1548" w:type="dxa"/>
            <w:shd w:val="clear" w:color="auto" w:fill="FFFFFF"/>
            <w:tcMar>
              <w:top w:w="60" w:type="dxa"/>
              <w:left w:w="110" w:type="dxa"/>
              <w:bottom w:w="60" w:type="dxa"/>
              <w:right w:w="110" w:type="dxa"/>
            </w:tcMar>
          </w:tcPr>
          <w:p w14:paraId="5FEAF453" w14:textId="77777777" w:rsidR="004B1A43" w:rsidRPr="004B1A43" w:rsidRDefault="004B1A43" w:rsidP="004B1A43">
            <w:pPr>
              <w:rPr>
                <w:rFonts w:ascii="Times New Roman" w:hAnsi="Times New Roman" w:cs="Times New Roman"/>
                <w:color w:val="C45911" w:themeColor="accent2" w:themeShade="BF"/>
                <w:sz w:val="24"/>
                <w:szCs w:val="24"/>
              </w:rPr>
            </w:pPr>
            <w:r w:rsidRPr="004B1A43">
              <w:rPr>
                <w:rFonts w:ascii="Times New Roman" w:eastAsia="Arial" w:hAnsi="Times New Roman" w:cs="Times New Roman"/>
                <w:color w:val="C45911" w:themeColor="accent2" w:themeShade="BF"/>
                <w:sz w:val="24"/>
                <w:szCs w:val="24"/>
              </w:rPr>
              <w:t>WARNING</w:t>
            </w:r>
          </w:p>
        </w:tc>
        <w:tc>
          <w:tcPr>
            <w:tcW w:w="3882" w:type="dxa"/>
            <w:shd w:val="clear" w:color="auto" w:fill="FFFFFF"/>
            <w:tcMar>
              <w:top w:w="60" w:type="dxa"/>
              <w:left w:w="110" w:type="dxa"/>
              <w:bottom w:w="60" w:type="dxa"/>
              <w:right w:w="110" w:type="dxa"/>
            </w:tcMar>
          </w:tcPr>
          <w:p w14:paraId="53AC02F8"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MAS yellow alert. Warning to CMRO.</w:t>
            </w:r>
          </w:p>
        </w:tc>
      </w:tr>
      <w:tr w:rsidR="004B1A43" w:rsidRPr="004B1A43" w14:paraId="3475D2A7" w14:textId="77777777" w:rsidTr="005105D4">
        <w:trPr>
          <w:trHeight w:val="555"/>
        </w:trPr>
        <w:tc>
          <w:tcPr>
            <w:tcW w:w="1458" w:type="dxa"/>
            <w:shd w:val="clear" w:color="auto" w:fill="F5F5F5"/>
            <w:tcMar>
              <w:top w:w="60" w:type="dxa"/>
              <w:left w:w="110" w:type="dxa"/>
              <w:bottom w:w="60" w:type="dxa"/>
              <w:right w:w="110" w:type="dxa"/>
            </w:tcMar>
          </w:tcPr>
          <w:p w14:paraId="1A0CC0B1"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Sep 2025</w:t>
            </w:r>
          </w:p>
        </w:tc>
        <w:tc>
          <w:tcPr>
            <w:tcW w:w="890" w:type="dxa"/>
            <w:shd w:val="clear" w:color="auto" w:fill="F5F5F5"/>
            <w:tcMar>
              <w:top w:w="60" w:type="dxa"/>
              <w:left w:w="110" w:type="dxa"/>
              <w:bottom w:w="60" w:type="dxa"/>
              <w:right w:w="110" w:type="dxa"/>
            </w:tcMar>
            <w:vAlign w:val="center"/>
          </w:tcPr>
          <w:p w14:paraId="76490A55" w14:textId="309C1A01"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0.7470</w:t>
            </w:r>
          </w:p>
        </w:tc>
        <w:tc>
          <w:tcPr>
            <w:tcW w:w="890" w:type="dxa"/>
            <w:shd w:val="clear" w:color="auto" w:fill="F5F5F5"/>
            <w:tcMar>
              <w:top w:w="60" w:type="dxa"/>
              <w:left w:w="110" w:type="dxa"/>
              <w:bottom w:w="60" w:type="dxa"/>
              <w:right w:w="110" w:type="dxa"/>
            </w:tcMar>
            <w:vAlign w:val="center"/>
          </w:tcPr>
          <w:p w14:paraId="6B1E5C62" w14:textId="2B5F5446"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0.1640</w:t>
            </w:r>
          </w:p>
        </w:tc>
        <w:tc>
          <w:tcPr>
            <w:tcW w:w="1415" w:type="dxa"/>
            <w:shd w:val="clear" w:color="auto" w:fill="F5F5F5"/>
            <w:tcMar>
              <w:top w:w="60" w:type="dxa"/>
              <w:left w:w="110" w:type="dxa"/>
              <w:bottom w:w="60" w:type="dxa"/>
              <w:right w:w="110" w:type="dxa"/>
            </w:tcMar>
          </w:tcPr>
          <w:p w14:paraId="06CAFF09" w14:textId="77777777" w:rsidR="004B1A43" w:rsidRPr="004B1A43" w:rsidRDefault="004B1A43" w:rsidP="004B1A43">
            <w:pPr>
              <w:rPr>
                <w:rFonts w:ascii="Times New Roman" w:hAnsi="Times New Roman" w:cs="Times New Roman"/>
                <w:color w:val="C45911" w:themeColor="accent2" w:themeShade="BF"/>
                <w:sz w:val="24"/>
                <w:szCs w:val="24"/>
              </w:rPr>
            </w:pPr>
            <w:r w:rsidRPr="004B1A43">
              <w:rPr>
                <w:rFonts w:ascii="Times New Roman" w:eastAsia="Arial" w:hAnsi="Times New Roman" w:cs="Times New Roman"/>
                <w:color w:val="C45911" w:themeColor="accent2" w:themeShade="BF"/>
                <w:sz w:val="24"/>
                <w:szCs w:val="24"/>
              </w:rPr>
              <w:t>WARNING</w:t>
            </w:r>
          </w:p>
        </w:tc>
        <w:tc>
          <w:tcPr>
            <w:tcW w:w="1548" w:type="dxa"/>
            <w:shd w:val="clear" w:color="auto" w:fill="F5F5F5"/>
            <w:tcMar>
              <w:top w:w="60" w:type="dxa"/>
              <w:left w:w="110" w:type="dxa"/>
              <w:bottom w:w="60" w:type="dxa"/>
              <w:right w:w="110" w:type="dxa"/>
            </w:tcMar>
          </w:tcPr>
          <w:p w14:paraId="34A6B13F" w14:textId="77777777" w:rsidR="004B1A43" w:rsidRPr="004B1A43" w:rsidRDefault="004B1A43" w:rsidP="004B1A43">
            <w:pPr>
              <w:rPr>
                <w:rFonts w:ascii="Times New Roman" w:hAnsi="Times New Roman" w:cs="Times New Roman"/>
                <w:color w:val="C45911" w:themeColor="accent2" w:themeShade="BF"/>
                <w:sz w:val="24"/>
                <w:szCs w:val="24"/>
              </w:rPr>
            </w:pPr>
            <w:r w:rsidRPr="004B1A43">
              <w:rPr>
                <w:rFonts w:ascii="Times New Roman" w:eastAsia="Arial" w:hAnsi="Times New Roman" w:cs="Times New Roman"/>
                <w:color w:val="C45911" w:themeColor="accent2" w:themeShade="BF"/>
                <w:sz w:val="24"/>
                <w:szCs w:val="24"/>
              </w:rPr>
              <w:t>WARNING</w:t>
            </w:r>
          </w:p>
        </w:tc>
        <w:tc>
          <w:tcPr>
            <w:tcW w:w="3882" w:type="dxa"/>
            <w:shd w:val="clear" w:color="auto" w:fill="F5F5F5"/>
            <w:tcMar>
              <w:top w:w="60" w:type="dxa"/>
              <w:left w:w="110" w:type="dxa"/>
              <w:bottom w:w="60" w:type="dxa"/>
              <w:right w:w="110" w:type="dxa"/>
            </w:tcMar>
          </w:tcPr>
          <w:p w14:paraId="79EA8178"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OCC yellow alert. Both jurisdictions in warning.</w:t>
            </w:r>
          </w:p>
        </w:tc>
      </w:tr>
      <w:tr w:rsidR="004B1A43" w:rsidRPr="004B1A43" w14:paraId="0ADD96E2" w14:textId="77777777" w:rsidTr="00C3419A">
        <w:trPr>
          <w:trHeight w:val="555"/>
        </w:trPr>
        <w:tc>
          <w:tcPr>
            <w:tcW w:w="1458" w:type="dxa"/>
            <w:shd w:val="clear" w:color="auto" w:fill="FFFFFF"/>
            <w:tcMar>
              <w:top w:w="60" w:type="dxa"/>
              <w:left w:w="110" w:type="dxa"/>
              <w:bottom w:w="60" w:type="dxa"/>
              <w:right w:w="110" w:type="dxa"/>
            </w:tcMar>
          </w:tcPr>
          <w:p w14:paraId="271F2676"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Dec 2025</w:t>
            </w:r>
          </w:p>
        </w:tc>
        <w:tc>
          <w:tcPr>
            <w:tcW w:w="890" w:type="dxa"/>
            <w:shd w:val="clear" w:color="auto" w:fill="FFFFFF"/>
            <w:tcMar>
              <w:top w:w="60" w:type="dxa"/>
              <w:left w:w="110" w:type="dxa"/>
              <w:bottom w:w="60" w:type="dxa"/>
              <w:right w:w="110" w:type="dxa"/>
            </w:tcMar>
            <w:vAlign w:val="center"/>
          </w:tcPr>
          <w:p w14:paraId="711355E1" w14:textId="5FA6C545"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0.7405</w:t>
            </w:r>
          </w:p>
        </w:tc>
        <w:tc>
          <w:tcPr>
            <w:tcW w:w="890" w:type="dxa"/>
            <w:shd w:val="clear" w:color="auto" w:fill="FFFFFF"/>
            <w:tcMar>
              <w:top w:w="60" w:type="dxa"/>
              <w:left w:w="110" w:type="dxa"/>
              <w:bottom w:w="60" w:type="dxa"/>
              <w:right w:w="110" w:type="dxa"/>
            </w:tcMar>
            <w:vAlign w:val="center"/>
          </w:tcPr>
          <w:p w14:paraId="0DD290DA" w14:textId="18CFEAF0"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0.1963</w:t>
            </w:r>
          </w:p>
        </w:tc>
        <w:tc>
          <w:tcPr>
            <w:tcW w:w="1415" w:type="dxa"/>
            <w:shd w:val="clear" w:color="auto" w:fill="FFFFFF"/>
            <w:tcMar>
              <w:top w:w="60" w:type="dxa"/>
              <w:left w:w="110" w:type="dxa"/>
              <w:bottom w:w="60" w:type="dxa"/>
              <w:right w:w="110" w:type="dxa"/>
            </w:tcMar>
          </w:tcPr>
          <w:p w14:paraId="620BB543" w14:textId="77777777" w:rsidR="004B1A43" w:rsidRPr="004B1A43" w:rsidRDefault="004B1A43" w:rsidP="004B1A43">
            <w:pPr>
              <w:rPr>
                <w:rFonts w:ascii="Times New Roman" w:hAnsi="Times New Roman" w:cs="Times New Roman"/>
                <w:color w:val="C45911" w:themeColor="accent2" w:themeShade="BF"/>
                <w:sz w:val="24"/>
                <w:szCs w:val="24"/>
              </w:rPr>
            </w:pPr>
            <w:r w:rsidRPr="004B1A43">
              <w:rPr>
                <w:rFonts w:ascii="Times New Roman" w:eastAsia="Arial" w:hAnsi="Times New Roman" w:cs="Times New Roman"/>
                <w:color w:val="C45911" w:themeColor="accent2" w:themeShade="BF"/>
                <w:sz w:val="24"/>
                <w:szCs w:val="24"/>
              </w:rPr>
              <w:t>WARNING</w:t>
            </w:r>
          </w:p>
        </w:tc>
        <w:tc>
          <w:tcPr>
            <w:tcW w:w="1548" w:type="dxa"/>
            <w:shd w:val="clear" w:color="auto" w:fill="FFFFFF"/>
            <w:tcMar>
              <w:top w:w="60" w:type="dxa"/>
              <w:left w:w="110" w:type="dxa"/>
              <w:bottom w:w="60" w:type="dxa"/>
              <w:right w:w="110" w:type="dxa"/>
            </w:tcMar>
          </w:tcPr>
          <w:p w14:paraId="7635C2C6" w14:textId="77777777" w:rsidR="004B1A43" w:rsidRPr="004B1A43" w:rsidRDefault="004B1A43" w:rsidP="004B1A43">
            <w:pPr>
              <w:rPr>
                <w:rFonts w:ascii="Times New Roman" w:hAnsi="Times New Roman" w:cs="Times New Roman"/>
                <w:color w:val="C45911" w:themeColor="accent2" w:themeShade="BF"/>
                <w:sz w:val="24"/>
                <w:szCs w:val="24"/>
              </w:rPr>
            </w:pPr>
            <w:r w:rsidRPr="004B1A43">
              <w:rPr>
                <w:rFonts w:ascii="Times New Roman" w:eastAsia="Arial" w:hAnsi="Times New Roman" w:cs="Times New Roman"/>
                <w:color w:val="C45911" w:themeColor="accent2" w:themeShade="BF"/>
                <w:sz w:val="24"/>
                <w:szCs w:val="24"/>
              </w:rPr>
              <w:t>WARNING</w:t>
            </w:r>
          </w:p>
        </w:tc>
        <w:tc>
          <w:tcPr>
            <w:tcW w:w="3882" w:type="dxa"/>
            <w:shd w:val="clear" w:color="auto" w:fill="FFFFFF"/>
            <w:tcMar>
              <w:top w:w="60" w:type="dxa"/>
              <w:left w:w="110" w:type="dxa"/>
              <w:bottom w:w="60" w:type="dxa"/>
              <w:right w:w="110" w:type="dxa"/>
            </w:tcMar>
          </w:tcPr>
          <w:p w14:paraId="077E144E"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AUC breaches MAS 5% threshold (0.741). MAS escalates.</w:t>
            </w:r>
          </w:p>
        </w:tc>
      </w:tr>
      <w:tr w:rsidR="004B1A43" w:rsidRPr="004B1A43" w14:paraId="22FEA06C" w14:textId="77777777" w:rsidTr="00DD62B5">
        <w:trPr>
          <w:trHeight w:val="555"/>
        </w:trPr>
        <w:tc>
          <w:tcPr>
            <w:tcW w:w="1458" w:type="dxa"/>
            <w:shd w:val="clear" w:color="auto" w:fill="F5F5F5"/>
            <w:tcMar>
              <w:top w:w="60" w:type="dxa"/>
              <w:left w:w="110" w:type="dxa"/>
              <w:bottom w:w="60" w:type="dxa"/>
              <w:right w:w="110" w:type="dxa"/>
            </w:tcMar>
          </w:tcPr>
          <w:p w14:paraId="71F20576"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Jan 2026</w:t>
            </w:r>
          </w:p>
        </w:tc>
        <w:tc>
          <w:tcPr>
            <w:tcW w:w="890" w:type="dxa"/>
            <w:shd w:val="clear" w:color="auto" w:fill="F5F5F5"/>
            <w:tcMar>
              <w:top w:w="60" w:type="dxa"/>
              <w:left w:w="110" w:type="dxa"/>
              <w:bottom w:w="60" w:type="dxa"/>
              <w:right w:w="110" w:type="dxa"/>
            </w:tcMar>
            <w:vAlign w:val="center"/>
          </w:tcPr>
          <w:p w14:paraId="6CC863E5" w14:textId="01CFA54E"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0.7432</w:t>
            </w:r>
          </w:p>
        </w:tc>
        <w:tc>
          <w:tcPr>
            <w:tcW w:w="890" w:type="dxa"/>
            <w:shd w:val="clear" w:color="auto" w:fill="F5F5F5"/>
            <w:tcMar>
              <w:top w:w="60" w:type="dxa"/>
              <w:left w:w="110" w:type="dxa"/>
              <w:bottom w:w="60" w:type="dxa"/>
              <w:right w:w="110" w:type="dxa"/>
            </w:tcMar>
            <w:vAlign w:val="center"/>
          </w:tcPr>
          <w:p w14:paraId="5EAD34E9" w14:textId="6500E7D5"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0.2100</w:t>
            </w:r>
          </w:p>
        </w:tc>
        <w:tc>
          <w:tcPr>
            <w:tcW w:w="1415" w:type="dxa"/>
            <w:shd w:val="clear" w:color="auto" w:fill="F5F5F5"/>
            <w:tcMar>
              <w:top w:w="60" w:type="dxa"/>
              <w:left w:w="110" w:type="dxa"/>
              <w:bottom w:w="60" w:type="dxa"/>
              <w:right w:w="110" w:type="dxa"/>
            </w:tcMar>
          </w:tcPr>
          <w:p w14:paraId="35D3BE10"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color w:val="C45911" w:themeColor="accent2" w:themeShade="BF"/>
                <w:sz w:val="24"/>
                <w:szCs w:val="24"/>
              </w:rPr>
              <w:t>WARNING</w:t>
            </w:r>
          </w:p>
        </w:tc>
        <w:tc>
          <w:tcPr>
            <w:tcW w:w="1548" w:type="dxa"/>
            <w:shd w:val="clear" w:color="auto" w:fill="F5F5F5"/>
            <w:tcMar>
              <w:top w:w="60" w:type="dxa"/>
              <w:left w:w="110" w:type="dxa"/>
              <w:bottom w:w="60" w:type="dxa"/>
              <w:right w:w="110" w:type="dxa"/>
            </w:tcMar>
          </w:tcPr>
          <w:p w14:paraId="172F497A" w14:textId="77777777" w:rsidR="004B1A43" w:rsidRPr="004B1A43" w:rsidRDefault="004B1A43" w:rsidP="004B1A43">
            <w:pPr>
              <w:rPr>
                <w:rFonts w:ascii="Times New Roman" w:hAnsi="Times New Roman" w:cs="Times New Roman"/>
                <w:color w:val="C00000"/>
                <w:sz w:val="24"/>
                <w:szCs w:val="24"/>
              </w:rPr>
            </w:pPr>
            <w:r w:rsidRPr="004B1A43">
              <w:rPr>
                <w:rFonts w:ascii="Times New Roman" w:eastAsia="Arial" w:hAnsi="Times New Roman" w:cs="Times New Roman"/>
                <w:color w:val="C00000"/>
                <w:sz w:val="24"/>
                <w:szCs w:val="24"/>
              </w:rPr>
              <w:t>CRITICAL</w:t>
            </w:r>
          </w:p>
        </w:tc>
        <w:tc>
          <w:tcPr>
            <w:tcW w:w="3882" w:type="dxa"/>
            <w:shd w:val="clear" w:color="auto" w:fill="F5F5F5"/>
            <w:tcMar>
              <w:top w:w="60" w:type="dxa"/>
              <w:left w:w="110" w:type="dxa"/>
              <w:bottom w:w="60" w:type="dxa"/>
              <w:right w:w="110" w:type="dxa"/>
            </w:tcMar>
          </w:tcPr>
          <w:p w14:paraId="0C2282BF"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MAS PSI critical. NON_COMPLIANT under MAS.</w:t>
            </w:r>
          </w:p>
        </w:tc>
      </w:tr>
      <w:tr w:rsidR="004B1A43" w:rsidRPr="004B1A43" w14:paraId="20C53B78" w14:textId="77777777" w:rsidTr="00E81896">
        <w:trPr>
          <w:trHeight w:val="844"/>
        </w:trPr>
        <w:tc>
          <w:tcPr>
            <w:tcW w:w="1458" w:type="dxa"/>
            <w:shd w:val="clear" w:color="auto" w:fill="FFFFFF"/>
            <w:tcMar>
              <w:top w:w="60" w:type="dxa"/>
              <w:left w:w="110" w:type="dxa"/>
              <w:bottom w:w="60" w:type="dxa"/>
              <w:right w:w="110" w:type="dxa"/>
            </w:tcMar>
          </w:tcPr>
          <w:p w14:paraId="1D5D0A35"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Mar 2026</w:t>
            </w:r>
          </w:p>
        </w:tc>
        <w:tc>
          <w:tcPr>
            <w:tcW w:w="890" w:type="dxa"/>
            <w:shd w:val="clear" w:color="auto" w:fill="FFFFFF"/>
            <w:tcMar>
              <w:top w:w="60" w:type="dxa"/>
              <w:left w:w="110" w:type="dxa"/>
              <w:bottom w:w="60" w:type="dxa"/>
              <w:right w:w="110" w:type="dxa"/>
            </w:tcMar>
            <w:vAlign w:val="center"/>
          </w:tcPr>
          <w:p w14:paraId="155D44DC" w14:textId="23BAB3C1"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0.7306</w:t>
            </w:r>
          </w:p>
        </w:tc>
        <w:tc>
          <w:tcPr>
            <w:tcW w:w="890" w:type="dxa"/>
            <w:shd w:val="clear" w:color="auto" w:fill="FFFFFF"/>
            <w:tcMar>
              <w:top w:w="60" w:type="dxa"/>
              <w:left w:w="110" w:type="dxa"/>
              <w:bottom w:w="60" w:type="dxa"/>
              <w:right w:w="110" w:type="dxa"/>
            </w:tcMar>
            <w:vAlign w:val="center"/>
          </w:tcPr>
          <w:p w14:paraId="362768D7" w14:textId="18E171C9" w:rsidR="004B1A43" w:rsidRPr="004B1A43" w:rsidRDefault="004B1A43" w:rsidP="004B1A43">
            <w:pPr>
              <w:rPr>
                <w:rFonts w:ascii="Times New Roman" w:hAnsi="Times New Roman" w:cs="Times New Roman"/>
                <w:sz w:val="24"/>
                <w:szCs w:val="24"/>
              </w:rPr>
            </w:pPr>
            <w:r w:rsidRPr="004B1A43">
              <w:rPr>
                <w:rFonts w:ascii="Times New Roman" w:hAnsi="Times New Roman" w:cs="Times New Roman"/>
                <w:color w:val="0F1115"/>
                <w:sz w:val="24"/>
                <w:szCs w:val="24"/>
              </w:rPr>
              <w:t>0.2281</w:t>
            </w:r>
          </w:p>
        </w:tc>
        <w:tc>
          <w:tcPr>
            <w:tcW w:w="1415" w:type="dxa"/>
            <w:shd w:val="clear" w:color="auto" w:fill="FFFFFF"/>
            <w:tcMar>
              <w:top w:w="60" w:type="dxa"/>
              <w:left w:w="110" w:type="dxa"/>
              <w:bottom w:w="60" w:type="dxa"/>
              <w:right w:w="110" w:type="dxa"/>
            </w:tcMar>
          </w:tcPr>
          <w:p w14:paraId="20EDCD6F" w14:textId="77777777" w:rsidR="004B1A43" w:rsidRPr="004B1A43" w:rsidRDefault="004B1A43" w:rsidP="004B1A43">
            <w:pPr>
              <w:rPr>
                <w:rFonts w:ascii="Times New Roman" w:hAnsi="Times New Roman" w:cs="Times New Roman"/>
                <w:color w:val="C00000"/>
                <w:sz w:val="24"/>
                <w:szCs w:val="24"/>
              </w:rPr>
            </w:pPr>
            <w:r w:rsidRPr="004B1A43">
              <w:rPr>
                <w:rFonts w:ascii="Times New Roman" w:eastAsia="Arial" w:hAnsi="Times New Roman" w:cs="Times New Roman"/>
                <w:color w:val="C00000"/>
                <w:sz w:val="24"/>
                <w:szCs w:val="24"/>
              </w:rPr>
              <w:t>CRITICAL</w:t>
            </w:r>
          </w:p>
        </w:tc>
        <w:tc>
          <w:tcPr>
            <w:tcW w:w="1548" w:type="dxa"/>
            <w:shd w:val="clear" w:color="auto" w:fill="FFFFFF"/>
            <w:tcMar>
              <w:top w:w="60" w:type="dxa"/>
              <w:left w:w="110" w:type="dxa"/>
              <w:bottom w:w="60" w:type="dxa"/>
              <w:right w:w="110" w:type="dxa"/>
            </w:tcMar>
          </w:tcPr>
          <w:p w14:paraId="5DEEE02F" w14:textId="77777777" w:rsidR="004B1A43" w:rsidRPr="004B1A43" w:rsidRDefault="004B1A43" w:rsidP="004B1A43">
            <w:pPr>
              <w:rPr>
                <w:rFonts w:ascii="Times New Roman" w:hAnsi="Times New Roman" w:cs="Times New Roman"/>
                <w:color w:val="C00000"/>
                <w:sz w:val="24"/>
                <w:szCs w:val="24"/>
              </w:rPr>
            </w:pPr>
            <w:r w:rsidRPr="004B1A43">
              <w:rPr>
                <w:rFonts w:ascii="Times New Roman" w:eastAsia="Arial" w:hAnsi="Times New Roman" w:cs="Times New Roman"/>
                <w:color w:val="C00000"/>
                <w:sz w:val="24"/>
                <w:szCs w:val="24"/>
              </w:rPr>
              <w:t>CRITICAL</w:t>
            </w:r>
          </w:p>
        </w:tc>
        <w:tc>
          <w:tcPr>
            <w:tcW w:w="3882" w:type="dxa"/>
            <w:shd w:val="clear" w:color="auto" w:fill="FFFFFF"/>
            <w:tcMar>
              <w:top w:w="60" w:type="dxa"/>
              <w:left w:w="110" w:type="dxa"/>
              <w:bottom w:w="60" w:type="dxa"/>
              <w:right w:w="110" w:type="dxa"/>
            </w:tcMar>
          </w:tcPr>
          <w:p w14:paraId="301B4224" w14:textId="77777777" w:rsidR="004B1A43" w:rsidRPr="004B1A43" w:rsidRDefault="004B1A43" w:rsidP="004B1A43">
            <w:pPr>
              <w:rPr>
                <w:rFonts w:ascii="Times New Roman" w:hAnsi="Times New Roman" w:cs="Times New Roman"/>
                <w:sz w:val="24"/>
                <w:szCs w:val="24"/>
              </w:rPr>
            </w:pPr>
            <w:r w:rsidRPr="004B1A43">
              <w:rPr>
                <w:rFonts w:ascii="Times New Roman" w:eastAsia="Arial" w:hAnsi="Times New Roman" w:cs="Times New Roman"/>
                <w:sz w:val="24"/>
                <w:szCs w:val="24"/>
              </w:rPr>
              <w:t>OCC PSI critical. Both NON_COMPLIANT. Immediate revalidation.</w:t>
            </w:r>
          </w:p>
        </w:tc>
      </w:tr>
    </w:tbl>
    <w:p w14:paraId="44D2DBF4" w14:textId="11370DCF" w:rsidR="000C08DA" w:rsidRPr="004B1A43" w:rsidRDefault="000C08DA" w:rsidP="000C08DA">
      <w:pPr>
        <w:widowControl/>
        <w:jc w:val="both"/>
        <w:rPr>
          <w:rFonts w:ascii="Times New Roman" w:hAnsi="Times New Roman" w:cs="Times New Roman"/>
          <w:sz w:val="24"/>
          <w:szCs w:val="24"/>
        </w:rPr>
      </w:pPr>
      <w:r w:rsidRPr="004B1A43">
        <w:rPr>
          <w:rFonts w:ascii="Times New Roman" w:eastAsia="Arial" w:hAnsi="Times New Roman" w:cs="Times New Roman"/>
          <w:sz w:val="24"/>
          <w:szCs w:val="24"/>
        </w:rPr>
        <w:t>Key Finding</w:t>
      </w:r>
      <w:r w:rsidRPr="004B1A43">
        <w:rPr>
          <w:rFonts w:ascii="Times New Roman" w:hAnsi="Times New Roman" w:cs="Times New Roman"/>
          <w:sz w:val="24"/>
          <w:szCs w:val="24"/>
        </w:rPr>
        <w:t>:</w:t>
      </w:r>
    </w:p>
    <w:p w14:paraId="73E56623" w14:textId="09659809" w:rsidR="000C08DA" w:rsidRPr="004B1A43" w:rsidRDefault="004B1A43" w:rsidP="000C08DA">
      <w:pPr>
        <w:widowControl/>
        <w:jc w:val="both"/>
        <w:rPr>
          <w:rFonts w:ascii="Times New Roman" w:hAnsi="Times New Roman" w:cs="Times New Roman"/>
          <w:sz w:val="24"/>
          <w:szCs w:val="24"/>
        </w:rPr>
      </w:pPr>
      <w:r w:rsidRPr="004B1A43">
        <w:rPr>
          <w:rFonts w:ascii="Times New Roman" w:eastAsia="Arial" w:hAnsi="Times New Roman" w:cs="Times New Roman"/>
          <w:sz w:val="24"/>
          <w:szCs w:val="24"/>
        </w:rPr>
        <w:lastRenderedPageBreak/>
        <w:t>MAS warned in</w:t>
      </w:r>
      <w:r>
        <w:rPr>
          <w:rFonts w:ascii="Times New Roman" w:hAnsi="Times New Roman" w:cs="Times New Roman" w:hint="eastAsia"/>
          <w:sz w:val="24"/>
          <w:szCs w:val="24"/>
        </w:rPr>
        <w:t xml:space="preserve"> </w:t>
      </w:r>
      <w:r w:rsidRPr="004B1A43">
        <w:rPr>
          <w:rFonts w:ascii="Times New Roman" w:eastAsia="Arial" w:hAnsi="Times New Roman" w:cs="Times New Roman"/>
          <w:sz w:val="24"/>
          <w:szCs w:val="24"/>
        </w:rPr>
        <w:t>April 2025 (PSI = 0.104, exceeding its 0.10 warning threshold).</w:t>
      </w:r>
      <w:r>
        <w:rPr>
          <w:rFonts w:ascii="Times New Roman" w:hAnsi="Times New Roman" w:cs="Times New Roman" w:hint="eastAsia"/>
          <w:sz w:val="24"/>
          <w:szCs w:val="24"/>
        </w:rPr>
        <w:t xml:space="preserve"> </w:t>
      </w:r>
      <w:r w:rsidRPr="004B1A43">
        <w:rPr>
          <w:rFonts w:ascii="Times New Roman" w:eastAsia="Arial" w:hAnsi="Times New Roman" w:cs="Times New Roman"/>
          <w:sz w:val="24"/>
          <w:szCs w:val="24"/>
        </w:rPr>
        <w:t>OCC warned in</w:t>
      </w:r>
      <w:r>
        <w:rPr>
          <w:rFonts w:ascii="Times New Roman" w:hAnsi="Times New Roman" w:cs="Times New Roman" w:hint="eastAsia"/>
          <w:sz w:val="24"/>
          <w:szCs w:val="24"/>
        </w:rPr>
        <w:t xml:space="preserve"> </w:t>
      </w:r>
      <w:r w:rsidRPr="004B1A43">
        <w:rPr>
          <w:rFonts w:ascii="Times New Roman" w:eastAsia="Arial" w:hAnsi="Times New Roman" w:cs="Times New Roman"/>
          <w:sz w:val="24"/>
          <w:szCs w:val="24"/>
        </w:rPr>
        <w:t>September 2025 (PSI = 0.164, exceeding its 0.15 warning threshold).</w:t>
      </w:r>
      <w:r>
        <w:rPr>
          <w:rFonts w:ascii="Times New Roman" w:hAnsi="Times New Roman" w:cs="Times New Roman" w:hint="eastAsia"/>
          <w:sz w:val="24"/>
          <w:szCs w:val="24"/>
        </w:rPr>
        <w:t xml:space="preserve"> </w:t>
      </w:r>
      <w:r w:rsidRPr="004B1A43">
        <w:rPr>
          <w:rFonts w:ascii="Times New Roman" w:eastAsia="Arial" w:hAnsi="Times New Roman" w:cs="Times New Roman"/>
          <w:sz w:val="24"/>
          <w:szCs w:val="24"/>
        </w:rPr>
        <w:t>The five months of additional operational risk under a degrading model are visible only to a jurisdiction</w:t>
      </w:r>
      <w:r w:rsidRPr="004B1A43">
        <w:rPr>
          <w:rFonts w:ascii="Times New Roman" w:eastAsia="Arial" w:hAnsi="Times New Roman" w:cs="Times New Roman"/>
          <w:sz w:val="24"/>
          <w:szCs w:val="24"/>
        </w:rPr>
        <w:noBreakHyphen/>
        <w:t>aware tool. This is the core quantitative demonstration of the tool's value.</w:t>
      </w:r>
    </w:p>
    <w:p w14:paraId="797E0F26" w14:textId="77777777" w:rsidR="004B1A43" w:rsidRPr="004B1A43" w:rsidRDefault="004B1A43" w:rsidP="000C08DA">
      <w:pPr>
        <w:widowControl/>
        <w:jc w:val="both"/>
        <w:rPr>
          <w:rFonts w:ascii="Times New Roman" w:hAnsi="Times New Roman" w:cs="Times New Roman"/>
          <w:sz w:val="24"/>
          <w:szCs w:val="24"/>
        </w:rPr>
      </w:pPr>
    </w:p>
    <w:p w14:paraId="35AD0DA0" w14:textId="77777777" w:rsidR="000C08DA" w:rsidRPr="000C08DA" w:rsidRDefault="000C08DA" w:rsidP="000C08DA">
      <w:pPr>
        <w:widowControl/>
        <w:jc w:val="both"/>
        <w:rPr>
          <w:rFonts w:ascii="Times New Roman" w:hAnsi="Times New Roman" w:cs="Times New Roman"/>
          <w:b/>
          <w:bCs/>
          <w:sz w:val="24"/>
          <w:szCs w:val="24"/>
        </w:rPr>
      </w:pPr>
      <w:r w:rsidRPr="000C08DA">
        <w:rPr>
          <w:rFonts w:ascii="Times New Roman" w:hAnsi="Times New Roman" w:cs="Times New Roman"/>
          <w:b/>
          <w:bCs/>
          <w:sz w:val="24"/>
          <w:szCs w:val="24"/>
        </w:rPr>
        <w:t>4.3 Approval Rate Disparity (Fairness)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1440"/>
        <w:gridCol w:w="1458"/>
        <w:gridCol w:w="1457"/>
        <w:gridCol w:w="1270"/>
        <w:gridCol w:w="1715"/>
        <w:gridCol w:w="1715"/>
      </w:tblGrid>
      <w:tr w:rsidR="000C08DA" w:rsidRPr="000C08DA" w14:paraId="1413B60C" w14:textId="77777777" w:rsidTr="007E29B2">
        <w:trPr>
          <w:trHeight w:val="340"/>
          <w:tblHeader/>
        </w:trPr>
        <w:tc>
          <w:tcPr>
            <w:tcW w:w="0" w:type="auto"/>
            <w:shd w:val="clear" w:color="auto" w:fill="1F3864" w:themeFill="accent1" w:themeFillShade="80"/>
            <w:tcMar>
              <w:top w:w="150" w:type="dxa"/>
              <w:left w:w="0" w:type="dxa"/>
              <w:bottom w:w="150" w:type="dxa"/>
              <w:right w:w="240" w:type="dxa"/>
            </w:tcMar>
            <w:vAlign w:val="center"/>
            <w:hideMark/>
          </w:tcPr>
          <w:p w14:paraId="4AF07151" w14:textId="77777777" w:rsidR="000C08DA" w:rsidRPr="000C08DA" w:rsidRDefault="000C08DA" w:rsidP="000C08DA">
            <w:pPr>
              <w:widowControl/>
              <w:rPr>
                <w:rFonts w:ascii="Times New Roman" w:hAnsi="Times New Roman" w:cs="Times New Roman"/>
                <w:b/>
                <w:bCs/>
                <w:sz w:val="24"/>
                <w:szCs w:val="24"/>
              </w:rPr>
            </w:pPr>
            <w:r w:rsidRPr="000C08DA">
              <w:rPr>
                <w:rFonts w:ascii="Times New Roman" w:hAnsi="Times New Roman" w:cs="Times New Roman"/>
                <w:b/>
                <w:bCs/>
                <w:sz w:val="24"/>
                <w:szCs w:val="24"/>
              </w:rPr>
              <w:t>Group</w:t>
            </w:r>
          </w:p>
        </w:tc>
        <w:tc>
          <w:tcPr>
            <w:tcW w:w="0" w:type="auto"/>
            <w:shd w:val="clear" w:color="auto" w:fill="1F3864" w:themeFill="accent1" w:themeFillShade="80"/>
            <w:tcMar>
              <w:top w:w="150" w:type="dxa"/>
              <w:left w:w="240" w:type="dxa"/>
              <w:bottom w:w="150" w:type="dxa"/>
              <w:right w:w="240" w:type="dxa"/>
            </w:tcMar>
            <w:vAlign w:val="center"/>
            <w:hideMark/>
          </w:tcPr>
          <w:p w14:paraId="05380121" w14:textId="77777777" w:rsidR="000C08DA" w:rsidRPr="000C08DA" w:rsidRDefault="000C08DA" w:rsidP="000C08DA">
            <w:pPr>
              <w:widowControl/>
              <w:rPr>
                <w:rFonts w:ascii="Times New Roman" w:hAnsi="Times New Roman" w:cs="Times New Roman"/>
                <w:b/>
                <w:bCs/>
                <w:sz w:val="24"/>
                <w:szCs w:val="24"/>
              </w:rPr>
            </w:pPr>
            <w:r w:rsidRPr="000C08DA">
              <w:rPr>
                <w:rFonts w:ascii="Times New Roman" w:hAnsi="Times New Roman" w:cs="Times New Roman"/>
                <w:b/>
                <w:bCs/>
                <w:sz w:val="24"/>
                <w:szCs w:val="24"/>
              </w:rPr>
              <w:t>Attribute</w:t>
            </w:r>
          </w:p>
        </w:tc>
        <w:tc>
          <w:tcPr>
            <w:tcW w:w="0" w:type="auto"/>
            <w:shd w:val="clear" w:color="auto" w:fill="1F3864" w:themeFill="accent1" w:themeFillShade="80"/>
            <w:tcMar>
              <w:top w:w="150" w:type="dxa"/>
              <w:left w:w="240" w:type="dxa"/>
              <w:bottom w:w="150" w:type="dxa"/>
              <w:right w:w="240" w:type="dxa"/>
            </w:tcMar>
            <w:vAlign w:val="center"/>
            <w:hideMark/>
          </w:tcPr>
          <w:p w14:paraId="508FF427" w14:textId="77777777" w:rsidR="000C08DA" w:rsidRPr="000C08DA" w:rsidRDefault="000C08DA" w:rsidP="000C08DA">
            <w:pPr>
              <w:widowControl/>
              <w:rPr>
                <w:rFonts w:ascii="Times New Roman" w:hAnsi="Times New Roman" w:cs="Times New Roman"/>
                <w:b/>
                <w:bCs/>
                <w:sz w:val="24"/>
                <w:szCs w:val="24"/>
              </w:rPr>
            </w:pPr>
            <w:r w:rsidRPr="000C08DA">
              <w:rPr>
                <w:rFonts w:ascii="Times New Roman" w:hAnsi="Times New Roman" w:cs="Times New Roman"/>
                <w:b/>
                <w:bCs/>
                <w:sz w:val="24"/>
                <w:szCs w:val="24"/>
              </w:rPr>
              <w:t>Train Approval</w:t>
            </w:r>
          </w:p>
        </w:tc>
        <w:tc>
          <w:tcPr>
            <w:tcW w:w="0" w:type="auto"/>
            <w:shd w:val="clear" w:color="auto" w:fill="1F3864" w:themeFill="accent1" w:themeFillShade="80"/>
            <w:tcMar>
              <w:top w:w="150" w:type="dxa"/>
              <w:left w:w="240" w:type="dxa"/>
              <w:bottom w:w="150" w:type="dxa"/>
              <w:right w:w="240" w:type="dxa"/>
            </w:tcMar>
            <w:vAlign w:val="center"/>
            <w:hideMark/>
          </w:tcPr>
          <w:p w14:paraId="3D96599B" w14:textId="77777777" w:rsidR="000C08DA" w:rsidRPr="000C08DA" w:rsidRDefault="000C08DA" w:rsidP="000C08DA">
            <w:pPr>
              <w:widowControl/>
              <w:rPr>
                <w:rFonts w:ascii="Times New Roman" w:hAnsi="Times New Roman" w:cs="Times New Roman"/>
                <w:b/>
                <w:bCs/>
                <w:sz w:val="24"/>
                <w:szCs w:val="24"/>
              </w:rPr>
            </w:pPr>
            <w:r w:rsidRPr="000C08DA">
              <w:rPr>
                <w:rFonts w:ascii="Times New Roman" w:hAnsi="Times New Roman" w:cs="Times New Roman"/>
                <w:b/>
                <w:bCs/>
                <w:sz w:val="24"/>
                <w:szCs w:val="24"/>
              </w:rPr>
              <w:t>Live Approval</w:t>
            </w:r>
          </w:p>
        </w:tc>
        <w:tc>
          <w:tcPr>
            <w:tcW w:w="0" w:type="auto"/>
            <w:shd w:val="clear" w:color="auto" w:fill="1F3864" w:themeFill="accent1" w:themeFillShade="80"/>
            <w:tcMar>
              <w:top w:w="150" w:type="dxa"/>
              <w:left w:w="240" w:type="dxa"/>
              <w:bottom w:w="150" w:type="dxa"/>
              <w:right w:w="240" w:type="dxa"/>
            </w:tcMar>
            <w:vAlign w:val="center"/>
            <w:hideMark/>
          </w:tcPr>
          <w:p w14:paraId="4BF85631" w14:textId="77777777" w:rsidR="000C08DA" w:rsidRPr="000C08DA" w:rsidRDefault="000C08DA" w:rsidP="000C08DA">
            <w:pPr>
              <w:widowControl/>
              <w:rPr>
                <w:rFonts w:ascii="Times New Roman" w:hAnsi="Times New Roman" w:cs="Times New Roman"/>
                <w:b/>
                <w:bCs/>
                <w:sz w:val="24"/>
                <w:szCs w:val="24"/>
              </w:rPr>
            </w:pPr>
            <w:r w:rsidRPr="000C08DA">
              <w:rPr>
                <w:rFonts w:ascii="Times New Roman" w:hAnsi="Times New Roman" w:cs="Times New Roman"/>
                <w:b/>
                <w:bCs/>
                <w:sz w:val="24"/>
                <w:szCs w:val="24"/>
              </w:rPr>
              <w:t>Change (pp)</w:t>
            </w:r>
          </w:p>
        </w:tc>
        <w:tc>
          <w:tcPr>
            <w:tcW w:w="0" w:type="auto"/>
            <w:shd w:val="clear" w:color="auto" w:fill="1F3864" w:themeFill="accent1" w:themeFillShade="80"/>
            <w:tcMar>
              <w:top w:w="150" w:type="dxa"/>
              <w:left w:w="240" w:type="dxa"/>
              <w:bottom w:w="150" w:type="dxa"/>
              <w:right w:w="240" w:type="dxa"/>
            </w:tcMar>
            <w:vAlign w:val="center"/>
            <w:hideMark/>
          </w:tcPr>
          <w:p w14:paraId="110F6933" w14:textId="77777777" w:rsidR="000C08DA" w:rsidRPr="000C08DA" w:rsidRDefault="000C08DA" w:rsidP="000C08DA">
            <w:pPr>
              <w:widowControl/>
              <w:rPr>
                <w:rFonts w:ascii="Times New Roman" w:hAnsi="Times New Roman" w:cs="Times New Roman"/>
                <w:b/>
                <w:bCs/>
                <w:sz w:val="24"/>
                <w:szCs w:val="24"/>
              </w:rPr>
            </w:pPr>
            <w:r w:rsidRPr="000C08DA">
              <w:rPr>
                <w:rFonts w:ascii="Times New Roman" w:hAnsi="Times New Roman" w:cs="Times New Roman"/>
                <w:b/>
                <w:bCs/>
                <w:sz w:val="24"/>
                <w:szCs w:val="24"/>
              </w:rPr>
              <w:t>Compliance Flag (OCC)</w:t>
            </w:r>
          </w:p>
        </w:tc>
        <w:tc>
          <w:tcPr>
            <w:tcW w:w="0" w:type="auto"/>
            <w:shd w:val="clear" w:color="auto" w:fill="1F3864" w:themeFill="accent1" w:themeFillShade="80"/>
            <w:tcMar>
              <w:top w:w="150" w:type="dxa"/>
              <w:left w:w="240" w:type="dxa"/>
              <w:bottom w:w="150" w:type="dxa"/>
              <w:right w:w="240" w:type="dxa"/>
            </w:tcMar>
            <w:vAlign w:val="center"/>
            <w:hideMark/>
          </w:tcPr>
          <w:p w14:paraId="17438360" w14:textId="77777777" w:rsidR="000C08DA" w:rsidRPr="000C08DA" w:rsidRDefault="000C08DA" w:rsidP="000C08DA">
            <w:pPr>
              <w:widowControl/>
              <w:rPr>
                <w:rFonts w:ascii="Times New Roman" w:hAnsi="Times New Roman" w:cs="Times New Roman"/>
                <w:b/>
                <w:bCs/>
                <w:sz w:val="24"/>
                <w:szCs w:val="24"/>
              </w:rPr>
            </w:pPr>
            <w:r w:rsidRPr="000C08DA">
              <w:rPr>
                <w:rFonts w:ascii="Times New Roman" w:hAnsi="Times New Roman" w:cs="Times New Roman"/>
                <w:b/>
                <w:bCs/>
                <w:sz w:val="24"/>
                <w:szCs w:val="24"/>
              </w:rPr>
              <w:t>Compliance Flag (MAS)</w:t>
            </w:r>
          </w:p>
        </w:tc>
      </w:tr>
      <w:tr w:rsidR="000C08DA" w:rsidRPr="000C08DA" w14:paraId="5D10DA93" w14:textId="77777777" w:rsidTr="007E29B2">
        <w:trPr>
          <w:trHeight w:val="340"/>
        </w:trPr>
        <w:tc>
          <w:tcPr>
            <w:tcW w:w="0" w:type="auto"/>
            <w:tcMar>
              <w:top w:w="150" w:type="dxa"/>
              <w:left w:w="0" w:type="dxa"/>
              <w:bottom w:w="150" w:type="dxa"/>
              <w:right w:w="240" w:type="dxa"/>
            </w:tcMar>
            <w:vAlign w:val="center"/>
            <w:hideMark/>
          </w:tcPr>
          <w:p w14:paraId="533B985D"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Male</w:t>
            </w:r>
          </w:p>
        </w:tc>
        <w:tc>
          <w:tcPr>
            <w:tcW w:w="0" w:type="auto"/>
            <w:tcMar>
              <w:top w:w="150" w:type="dxa"/>
              <w:left w:w="240" w:type="dxa"/>
              <w:bottom w:w="150" w:type="dxa"/>
              <w:right w:w="240" w:type="dxa"/>
            </w:tcMar>
            <w:vAlign w:val="center"/>
            <w:hideMark/>
          </w:tcPr>
          <w:p w14:paraId="305115DB"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gender</w:t>
            </w:r>
          </w:p>
        </w:tc>
        <w:tc>
          <w:tcPr>
            <w:tcW w:w="0" w:type="auto"/>
            <w:tcMar>
              <w:top w:w="150" w:type="dxa"/>
              <w:left w:w="240" w:type="dxa"/>
              <w:bottom w:w="150" w:type="dxa"/>
              <w:right w:w="240" w:type="dxa"/>
            </w:tcMar>
            <w:vAlign w:val="center"/>
            <w:hideMark/>
          </w:tcPr>
          <w:p w14:paraId="31C045E1"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98.64%</w:t>
            </w:r>
          </w:p>
        </w:tc>
        <w:tc>
          <w:tcPr>
            <w:tcW w:w="0" w:type="auto"/>
            <w:tcMar>
              <w:top w:w="150" w:type="dxa"/>
              <w:left w:w="240" w:type="dxa"/>
              <w:bottom w:w="150" w:type="dxa"/>
              <w:right w:w="240" w:type="dxa"/>
            </w:tcMar>
            <w:vAlign w:val="center"/>
            <w:hideMark/>
          </w:tcPr>
          <w:p w14:paraId="3845A1FB"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90.04%</w:t>
            </w:r>
          </w:p>
        </w:tc>
        <w:tc>
          <w:tcPr>
            <w:tcW w:w="0" w:type="auto"/>
            <w:tcMar>
              <w:top w:w="150" w:type="dxa"/>
              <w:left w:w="240" w:type="dxa"/>
              <w:bottom w:w="150" w:type="dxa"/>
              <w:right w:w="240" w:type="dxa"/>
            </w:tcMar>
            <w:vAlign w:val="center"/>
            <w:hideMark/>
          </w:tcPr>
          <w:p w14:paraId="6263DA78"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−8.60</w:t>
            </w:r>
          </w:p>
        </w:tc>
        <w:tc>
          <w:tcPr>
            <w:tcW w:w="0" w:type="auto"/>
            <w:tcMar>
              <w:top w:w="150" w:type="dxa"/>
              <w:left w:w="240" w:type="dxa"/>
              <w:bottom w:w="150" w:type="dxa"/>
              <w:right w:w="240" w:type="dxa"/>
            </w:tcMar>
            <w:vAlign w:val="center"/>
            <w:hideMark/>
          </w:tcPr>
          <w:p w14:paraId="2BC127F4"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Reference</w:t>
            </w:r>
          </w:p>
        </w:tc>
        <w:tc>
          <w:tcPr>
            <w:tcW w:w="0" w:type="auto"/>
            <w:tcMar>
              <w:top w:w="150" w:type="dxa"/>
              <w:left w:w="240" w:type="dxa"/>
              <w:bottom w:w="150" w:type="dxa"/>
              <w:right w:w="0" w:type="dxa"/>
            </w:tcMar>
            <w:vAlign w:val="center"/>
            <w:hideMark/>
          </w:tcPr>
          <w:p w14:paraId="2C2686DF"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Reference</w:t>
            </w:r>
          </w:p>
        </w:tc>
      </w:tr>
      <w:tr w:rsidR="000C08DA" w:rsidRPr="000C08DA" w14:paraId="40D29908" w14:textId="77777777" w:rsidTr="007E29B2">
        <w:trPr>
          <w:trHeight w:val="340"/>
        </w:trPr>
        <w:tc>
          <w:tcPr>
            <w:tcW w:w="0" w:type="auto"/>
            <w:shd w:val="clear" w:color="auto" w:fill="F2F2F2" w:themeFill="background1" w:themeFillShade="F2"/>
            <w:tcMar>
              <w:top w:w="150" w:type="dxa"/>
              <w:left w:w="0" w:type="dxa"/>
              <w:bottom w:w="150" w:type="dxa"/>
              <w:right w:w="240" w:type="dxa"/>
            </w:tcMar>
            <w:vAlign w:val="center"/>
            <w:hideMark/>
          </w:tcPr>
          <w:p w14:paraId="6A9E10C4"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Female</w:t>
            </w:r>
          </w:p>
        </w:tc>
        <w:tc>
          <w:tcPr>
            <w:tcW w:w="0" w:type="auto"/>
            <w:shd w:val="clear" w:color="auto" w:fill="F2F2F2" w:themeFill="background1" w:themeFillShade="F2"/>
            <w:tcMar>
              <w:top w:w="150" w:type="dxa"/>
              <w:left w:w="240" w:type="dxa"/>
              <w:bottom w:w="150" w:type="dxa"/>
              <w:right w:w="240" w:type="dxa"/>
            </w:tcMar>
            <w:vAlign w:val="center"/>
            <w:hideMark/>
          </w:tcPr>
          <w:p w14:paraId="4CF62776"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gender</w:t>
            </w:r>
          </w:p>
        </w:tc>
        <w:tc>
          <w:tcPr>
            <w:tcW w:w="0" w:type="auto"/>
            <w:shd w:val="clear" w:color="auto" w:fill="F2F2F2" w:themeFill="background1" w:themeFillShade="F2"/>
            <w:tcMar>
              <w:top w:w="150" w:type="dxa"/>
              <w:left w:w="240" w:type="dxa"/>
              <w:bottom w:w="150" w:type="dxa"/>
              <w:right w:w="240" w:type="dxa"/>
            </w:tcMar>
            <w:vAlign w:val="center"/>
            <w:hideMark/>
          </w:tcPr>
          <w:p w14:paraId="1A54C82A"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98.29%</w:t>
            </w:r>
          </w:p>
        </w:tc>
        <w:tc>
          <w:tcPr>
            <w:tcW w:w="0" w:type="auto"/>
            <w:shd w:val="clear" w:color="auto" w:fill="F2F2F2" w:themeFill="background1" w:themeFillShade="F2"/>
            <w:tcMar>
              <w:top w:w="150" w:type="dxa"/>
              <w:left w:w="240" w:type="dxa"/>
              <w:bottom w:w="150" w:type="dxa"/>
              <w:right w:w="240" w:type="dxa"/>
            </w:tcMar>
            <w:vAlign w:val="center"/>
            <w:hideMark/>
          </w:tcPr>
          <w:p w14:paraId="418FB51F"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89.95%</w:t>
            </w:r>
          </w:p>
        </w:tc>
        <w:tc>
          <w:tcPr>
            <w:tcW w:w="0" w:type="auto"/>
            <w:shd w:val="clear" w:color="auto" w:fill="F2F2F2" w:themeFill="background1" w:themeFillShade="F2"/>
            <w:tcMar>
              <w:top w:w="150" w:type="dxa"/>
              <w:left w:w="240" w:type="dxa"/>
              <w:bottom w:w="150" w:type="dxa"/>
              <w:right w:w="240" w:type="dxa"/>
            </w:tcMar>
            <w:vAlign w:val="center"/>
            <w:hideMark/>
          </w:tcPr>
          <w:p w14:paraId="41243323"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−8.34</w:t>
            </w:r>
          </w:p>
        </w:tc>
        <w:tc>
          <w:tcPr>
            <w:tcW w:w="0" w:type="auto"/>
            <w:shd w:val="clear" w:color="auto" w:fill="F2F2F2" w:themeFill="background1" w:themeFillShade="F2"/>
            <w:tcMar>
              <w:top w:w="150" w:type="dxa"/>
              <w:left w:w="240" w:type="dxa"/>
              <w:bottom w:w="150" w:type="dxa"/>
              <w:right w:w="240" w:type="dxa"/>
            </w:tcMar>
            <w:vAlign w:val="center"/>
            <w:hideMark/>
          </w:tcPr>
          <w:p w14:paraId="24CAAD7E" w14:textId="77777777" w:rsidR="000C08DA" w:rsidRPr="000C08DA" w:rsidRDefault="000C08DA" w:rsidP="000C08DA">
            <w:pPr>
              <w:widowControl/>
              <w:rPr>
                <w:rFonts w:ascii="Times New Roman" w:hAnsi="Times New Roman" w:cs="Times New Roman"/>
                <w:sz w:val="24"/>
                <w:szCs w:val="24"/>
              </w:rPr>
            </w:pPr>
            <w:r w:rsidRPr="000C08DA">
              <w:rPr>
                <w:rFonts w:ascii="Segoe UI Symbol" w:hAnsi="Segoe UI Symbol" w:cs="Segoe UI Symbol"/>
                <w:sz w:val="24"/>
                <w:szCs w:val="24"/>
              </w:rPr>
              <w:t>✓</w:t>
            </w:r>
            <w:r w:rsidRPr="000C08DA">
              <w:rPr>
                <w:rFonts w:ascii="Times New Roman" w:hAnsi="Times New Roman" w:cs="Times New Roman"/>
                <w:sz w:val="24"/>
                <w:szCs w:val="24"/>
              </w:rPr>
              <w:t xml:space="preserve"> OK (ratio &gt;0.80)</w:t>
            </w:r>
          </w:p>
        </w:tc>
        <w:tc>
          <w:tcPr>
            <w:tcW w:w="0" w:type="auto"/>
            <w:shd w:val="clear" w:color="auto" w:fill="F2F2F2" w:themeFill="background1" w:themeFillShade="F2"/>
            <w:tcMar>
              <w:top w:w="150" w:type="dxa"/>
              <w:left w:w="240" w:type="dxa"/>
              <w:bottom w:w="150" w:type="dxa"/>
              <w:right w:w="0" w:type="dxa"/>
            </w:tcMar>
            <w:vAlign w:val="center"/>
            <w:hideMark/>
          </w:tcPr>
          <w:p w14:paraId="0E6E8435" w14:textId="77777777" w:rsidR="000C08DA" w:rsidRPr="000C08DA" w:rsidRDefault="000C08DA" w:rsidP="000C08DA">
            <w:pPr>
              <w:widowControl/>
              <w:rPr>
                <w:rFonts w:ascii="Times New Roman" w:hAnsi="Times New Roman" w:cs="Times New Roman"/>
                <w:sz w:val="24"/>
                <w:szCs w:val="24"/>
              </w:rPr>
            </w:pPr>
            <w:r w:rsidRPr="000C08DA">
              <w:rPr>
                <w:rFonts w:ascii="Segoe UI Symbol" w:hAnsi="Segoe UI Symbol" w:cs="Segoe UI Symbol"/>
                <w:sz w:val="24"/>
                <w:szCs w:val="24"/>
              </w:rPr>
              <w:t>✓</w:t>
            </w:r>
            <w:r w:rsidRPr="000C08DA">
              <w:rPr>
                <w:rFonts w:ascii="Times New Roman" w:hAnsi="Times New Roman" w:cs="Times New Roman"/>
                <w:sz w:val="24"/>
                <w:szCs w:val="24"/>
              </w:rPr>
              <w:t xml:space="preserve"> OK (gap &lt;5pp)</w:t>
            </w:r>
          </w:p>
        </w:tc>
      </w:tr>
      <w:tr w:rsidR="000C08DA" w:rsidRPr="000C08DA" w14:paraId="02D41119" w14:textId="77777777" w:rsidTr="007E29B2">
        <w:trPr>
          <w:trHeight w:val="340"/>
        </w:trPr>
        <w:tc>
          <w:tcPr>
            <w:tcW w:w="0" w:type="auto"/>
            <w:tcMar>
              <w:top w:w="150" w:type="dxa"/>
              <w:left w:w="0" w:type="dxa"/>
              <w:bottom w:w="150" w:type="dxa"/>
              <w:right w:w="240" w:type="dxa"/>
            </w:tcMar>
            <w:vAlign w:val="center"/>
            <w:hideMark/>
          </w:tcPr>
          <w:p w14:paraId="6A458F16"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Chinese</w:t>
            </w:r>
          </w:p>
        </w:tc>
        <w:tc>
          <w:tcPr>
            <w:tcW w:w="0" w:type="auto"/>
            <w:tcMar>
              <w:top w:w="150" w:type="dxa"/>
              <w:left w:w="240" w:type="dxa"/>
              <w:bottom w:w="150" w:type="dxa"/>
              <w:right w:w="240" w:type="dxa"/>
            </w:tcMar>
            <w:vAlign w:val="center"/>
            <w:hideMark/>
          </w:tcPr>
          <w:p w14:paraId="098F2E44"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ethnicity</w:t>
            </w:r>
          </w:p>
        </w:tc>
        <w:tc>
          <w:tcPr>
            <w:tcW w:w="0" w:type="auto"/>
            <w:tcMar>
              <w:top w:w="150" w:type="dxa"/>
              <w:left w:w="240" w:type="dxa"/>
              <w:bottom w:w="150" w:type="dxa"/>
              <w:right w:w="240" w:type="dxa"/>
            </w:tcMar>
            <w:vAlign w:val="center"/>
            <w:hideMark/>
          </w:tcPr>
          <w:p w14:paraId="54EE9010"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98.40%</w:t>
            </w:r>
          </w:p>
        </w:tc>
        <w:tc>
          <w:tcPr>
            <w:tcW w:w="0" w:type="auto"/>
            <w:tcMar>
              <w:top w:w="150" w:type="dxa"/>
              <w:left w:w="240" w:type="dxa"/>
              <w:bottom w:w="150" w:type="dxa"/>
              <w:right w:w="240" w:type="dxa"/>
            </w:tcMar>
            <w:vAlign w:val="center"/>
            <w:hideMark/>
          </w:tcPr>
          <w:p w14:paraId="5F1999D7"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89.98%</w:t>
            </w:r>
          </w:p>
        </w:tc>
        <w:tc>
          <w:tcPr>
            <w:tcW w:w="0" w:type="auto"/>
            <w:tcMar>
              <w:top w:w="150" w:type="dxa"/>
              <w:left w:w="240" w:type="dxa"/>
              <w:bottom w:w="150" w:type="dxa"/>
              <w:right w:w="240" w:type="dxa"/>
            </w:tcMar>
            <w:vAlign w:val="center"/>
            <w:hideMark/>
          </w:tcPr>
          <w:p w14:paraId="742FB9C0"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−8.42</w:t>
            </w:r>
          </w:p>
        </w:tc>
        <w:tc>
          <w:tcPr>
            <w:tcW w:w="0" w:type="auto"/>
            <w:tcMar>
              <w:top w:w="150" w:type="dxa"/>
              <w:left w:w="240" w:type="dxa"/>
              <w:bottom w:w="150" w:type="dxa"/>
              <w:right w:w="240" w:type="dxa"/>
            </w:tcMar>
            <w:vAlign w:val="center"/>
            <w:hideMark/>
          </w:tcPr>
          <w:p w14:paraId="65F5E320"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Reference</w:t>
            </w:r>
          </w:p>
        </w:tc>
        <w:tc>
          <w:tcPr>
            <w:tcW w:w="0" w:type="auto"/>
            <w:tcMar>
              <w:top w:w="150" w:type="dxa"/>
              <w:left w:w="240" w:type="dxa"/>
              <w:bottom w:w="150" w:type="dxa"/>
              <w:right w:w="0" w:type="dxa"/>
            </w:tcMar>
            <w:vAlign w:val="center"/>
            <w:hideMark/>
          </w:tcPr>
          <w:p w14:paraId="25171D84"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Reference</w:t>
            </w:r>
          </w:p>
        </w:tc>
      </w:tr>
      <w:tr w:rsidR="000C08DA" w:rsidRPr="000C08DA" w14:paraId="5D524DB6" w14:textId="77777777" w:rsidTr="007E29B2">
        <w:trPr>
          <w:trHeight w:val="340"/>
        </w:trPr>
        <w:tc>
          <w:tcPr>
            <w:tcW w:w="0" w:type="auto"/>
            <w:shd w:val="clear" w:color="auto" w:fill="F2F2F2" w:themeFill="background1" w:themeFillShade="F2"/>
            <w:tcMar>
              <w:top w:w="150" w:type="dxa"/>
              <w:left w:w="0" w:type="dxa"/>
              <w:bottom w:w="150" w:type="dxa"/>
              <w:right w:w="240" w:type="dxa"/>
            </w:tcMar>
            <w:vAlign w:val="center"/>
            <w:hideMark/>
          </w:tcPr>
          <w:p w14:paraId="1CA08BC7"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Malay</w:t>
            </w:r>
          </w:p>
        </w:tc>
        <w:tc>
          <w:tcPr>
            <w:tcW w:w="0" w:type="auto"/>
            <w:shd w:val="clear" w:color="auto" w:fill="F2F2F2" w:themeFill="background1" w:themeFillShade="F2"/>
            <w:tcMar>
              <w:top w:w="150" w:type="dxa"/>
              <w:left w:w="240" w:type="dxa"/>
              <w:bottom w:w="150" w:type="dxa"/>
              <w:right w:w="240" w:type="dxa"/>
            </w:tcMar>
            <w:vAlign w:val="center"/>
            <w:hideMark/>
          </w:tcPr>
          <w:p w14:paraId="561F24C4"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ethnicity</w:t>
            </w:r>
          </w:p>
        </w:tc>
        <w:tc>
          <w:tcPr>
            <w:tcW w:w="0" w:type="auto"/>
            <w:shd w:val="clear" w:color="auto" w:fill="F2F2F2" w:themeFill="background1" w:themeFillShade="F2"/>
            <w:tcMar>
              <w:top w:w="150" w:type="dxa"/>
              <w:left w:w="240" w:type="dxa"/>
              <w:bottom w:w="150" w:type="dxa"/>
              <w:right w:w="240" w:type="dxa"/>
            </w:tcMar>
            <w:vAlign w:val="center"/>
            <w:hideMark/>
          </w:tcPr>
          <w:p w14:paraId="03D24B06"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99.02%</w:t>
            </w:r>
          </w:p>
        </w:tc>
        <w:tc>
          <w:tcPr>
            <w:tcW w:w="0" w:type="auto"/>
            <w:shd w:val="clear" w:color="auto" w:fill="F2F2F2" w:themeFill="background1" w:themeFillShade="F2"/>
            <w:tcMar>
              <w:top w:w="150" w:type="dxa"/>
              <w:left w:w="240" w:type="dxa"/>
              <w:bottom w:w="150" w:type="dxa"/>
              <w:right w:w="240" w:type="dxa"/>
            </w:tcMar>
            <w:vAlign w:val="center"/>
            <w:hideMark/>
          </w:tcPr>
          <w:p w14:paraId="3594D429"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90.03%</w:t>
            </w:r>
          </w:p>
        </w:tc>
        <w:tc>
          <w:tcPr>
            <w:tcW w:w="0" w:type="auto"/>
            <w:shd w:val="clear" w:color="auto" w:fill="F2F2F2" w:themeFill="background1" w:themeFillShade="F2"/>
            <w:tcMar>
              <w:top w:w="150" w:type="dxa"/>
              <w:left w:w="240" w:type="dxa"/>
              <w:bottom w:w="150" w:type="dxa"/>
              <w:right w:w="240" w:type="dxa"/>
            </w:tcMar>
            <w:vAlign w:val="center"/>
            <w:hideMark/>
          </w:tcPr>
          <w:p w14:paraId="299BFE77"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−8.99</w:t>
            </w:r>
          </w:p>
        </w:tc>
        <w:tc>
          <w:tcPr>
            <w:tcW w:w="0" w:type="auto"/>
            <w:shd w:val="clear" w:color="auto" w:fill="F2F2F2" w:themeFill="background1" w:themeFillShade="F2"/>
            <w:tcMar>
              <w:top w:w="150" w:type="dxa"/>
              <w:left w:w="240" w:type="dxa"/>
              <w:bottom w:w="150" w:type="dxa"/>
              <w:right w:w="240" w:type="dxa"/>
            </w:tcMar>
            <w:vAlign w:val="center"/>
            <w:hideMark/>
          </w:tcPr>
          <w:p w14:paraId="607DDF57" w14:textId="77777777" w:rsidR="000C08DA" w:rsidRPr="000C08DA" w:rsidRDefault="000C08DA" w:rsidP="000C08DA">
            <w:pPr>
              <w:widowControl/>
              <w:rPr>
                <w:rFonts w:ascii="Times New Roman" w:hAnsi="Times New Roman" w:cs="Times New Roman"/>
                <w:sz w:val="24"/>
                <w:szCs w:val="24"/>
              </w:rPr>
            </w:pPr>
            <w:r w:rsidRPr="000C08DA">
              <w:rPr>
                <w:rFonts w:ascii="Segoe UI Symbol" w:hAnsi="Segoe UI Symbol" w:cs="Segoe UI Symbol"/>
                <w:sz w:val="24"/>
                <w:szCs w:val="24"/>
              </w:rPr>
              <w:t>✓</w:t>
            </w:r>
            <w:r w:rsidRPr="000C08DA">
              <w:rPr>
                <w:rFonts w:ascii="Times New Roman" w:hAnsi="Times New Roman" w:cs="Times New Roman"/>
                <w:sz w:val="24"/>
                <w:szCs w:val="24"/>
              </w:rPr>
              <w:t xml:space="preserve"> OK</w:t>
            </w:r>
          </w:p>
        </w:tc>
        <w:tc>
          <w:tcPr>
            <w:tcW w:w="0" w:type="auto"/>
            <w:shd w:val="clear" w:color="auto" w:fill="F2F2F2" w:themeFill="background1" w:themeFillShade="F2"/>
            <w:tcMar>
              <w:top w:w="150" w:type="dxa"/>
              <w:left w:w="240" w:type="dxa"/>
              <w:bottom w:w="150" w:type="dxa"/>
              <w:right w:w="0" w:type="dxa"/>
            </w:tcMar>
            <w:vAlign w:val="center"/>
            <w:hideMark/>
          </w:tcPr>
          <w:p w14:paraId="57EDEAB7" w14:textId="77777777" w:rsidR="000C08DA" w:rsidRPr="000C08DA" w:rsidRDefault="000C08DA" w:rsidP="000C08DA">
            <w:pPr>
              <w:widowControl/>
              <w:rPr>
                <w:rFonts w:ascii="Times New Roman" w:hAnsi="Times New Roman" w:cs="Times New Roman"/>
                <w:sz w:val="24"/>
                <w:szCs w:val="24"/>
              </w:rPr>
            </w:pPr>
            <w:r w:rsidRPr="000C08DA">
              <w:rPr>
                <w:rFonts w:ascii="Segoe UI Symbol" w:hAnsi="Segoe UI Symbol" w:cs="Segoe UI Symbol"/>
                <w:sz w:val="24"/>
                <w:szCs w:val="24"/>
              </w:rPr>
              <w:t>✓</w:t>
            </w:r>
            <w:r w:rsidRPr="000C08DA">
              <w:rPr>
                <w:rFonts w:ascii="Times New Roman" w:hAnsi="Times New Roman" w:cs="Times New Roman"/>
                <w:sz w:val="24"/>
                <w:szCs w:val="24"/>
              </w:rPr>
              <w:t xml:space="preserve"> OK</w:t>
            </w:r>
          </w:p>
        </w:tc>
      </w:tr>
      <w:tr w:rsidR="000C08DA" w:rsidRPr="000C08DA" w14:paraId="7872116F" w14:textId="77777777" w:rsidTr="007E29B2">
        <w:trPr>
          <w:trHeight w:val="340"/>
        </w:trPr>
        <w:tc>
          <w:tcPr>
            <w:tcW w:w="0" w:type="auto"/>
            <w:tcMar>
              <w:top w:w="150" w:type="dxa"/>
              <w:left w:w="0" w:type="dxa"/>
              <w:bottom w:w="150" w:type="dxa"/>
              <w:right w:w="240" w:type="dxa"/>
            </w:tcMar>
            <w:vAlign w:val="center"/>
            <w:hideMark/>
          </w:tcPr>
          <w:p w14:paraId="397C3A26"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Indian</w:t>
            </w:r>
          </w:p>
        </w:tc>
        <w:tc>
          <w:tcPr>
            <w:tcW w:w="0" w:type="auto"/>
            <w:tcMar>
              <w:top w:w="150" w:type="dxa"/>
              <w:left w:w="240" w:type="dxa"/>
              <w:bottom w:w="150" w:type="dxa"/>
              <w:right w:w="240" w:type="dxa"/>
            </w:tcMar>
            <w:vAlign w:val="center"/>
            <w:hideMark/>
          </w:tcPr>
          <w:p w14:paraId="6DCFA762"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ethnicity</w:t>
            </w:r>
          </w:p>
        </w:tc>
        <w:tc>
          <w:tcPr>
            <w:tcW w:w="0" w:type="auto"/>
            <w:tcMar>
              <w:top w:w="150" w:type="dxa"/>
              <w:left w:w="240" w:type="dxa"/>
              <w:bottom w:w="150" w:type="dxa"/>
              <w:right w:w="240" w:type="dxa"/>
            </w:tcMar>
            <w:vAlign w:val="center"/>
            <w:hideMark/>
          </w:tcPr>
          <w:p w14:paraId="525543CD"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98.40%</w:t>
            </w:r>
          </w:p>
        </w:tc>
        <w:tc>
          <w:tcPr>
            <w:tcW w:w="0" w:type="auto"/>
            <w:tcMar>
              <w:top w:w="150" w:type="dxa"/>
              <w:left w:w="240" w:type="dxa"/>
              <w:bottom w:w="150" w:type="dxa"/>
              <w:right w:w="240" w:type="dxa"/>
            </w:tcMar>
            <w:vAlign w:val="center"/>
            <w:hideMark/>
          </w:tcPr>
          <w:p w14:paraId="2C16EA36"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91.05%</w:t>
            </w:r>
          </w:p>
        </w:tc>
        <w:tc>
          <w:tcPr>
            <w:tcW w:w="0" w:type="auto"/>
            <w:tcMar>
              <w:top w:w="150" w:type="dxa"/>
              <w:left w:w="240" w:type="dxa"/>
              <w:bottom w:w="150" w:type="dxa"/>
              <w:right w:w="240" w:type="dxa"/>
            </w:tcMar>
            <w:vAlign w:val="center"/>
            <w:hideMark/>
          </w:tcPr>
          <w:p w14:paraId="0623F230"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−7.35</w:t>
            </w:r>
          </w:p>
        </w:tc>
        <w:tc>
          <w:tcPr>
            <w:tcW w:w="0" w:type="auto"/>
            <w:tcMar>
              <w:top w:w="150" w:type="dxa"/>
              <w:left w:w="240" w:type="dxa"/>
              <w:bottom w:w="150" w:type="dxa"/>
              <w:right w:w="240" w:type="dxa"/>
            </w:tcMar>
            <w:vAlign w:val="center"/>
            <w:hideMark/>
          </w:tcPr>
          <w:p w14:paraId="2C0EC360" w14:textId="77777777" w:rsidR="000C08DA" w:rsidRPr="000C08DA" w:rsidRDefault="000C08DA" w:rsidP="000C08DA">
            <w:pPr>
              <w:widowControl/>
              <w:rPr>
                <w:rFonts w:ascii="Times New Roman" w:hAnsi="Times New Roman" w:cs="Times New Roman"/>
                <w:sz w:val="24"/>
                <w:szCs w:val="24"/>
              </w:rPr>
            </w:pPr>
            <w:r w:rsidRPr="000C08DA">
              <w:rPr>
                <w:rFonts w:ascii="Segoe UI Symbol" w:hAnsi="Segoe UI Symbol" w:cs="Segoe UI Symbol"/>
                <w:sz w:val="24"/>
                <w:szCs w:val="24"/>
              </w:rPr>
              <w:t>✓</w:t>
            </w:r>
            <w:r w:rsidRPr="000C08DA">
              <w:rPr>
                <w:rFonts w:ascii="Times New Roman" w:hAnsi="Times New Roman" w:cs="Times New Roman"/>
                <w:sz w:val="24"/>
                <w:szCs w:val="24"/>
              </w:rPr>
              <w:t xml:space="preserve"> OK</w:t>
            </w:r>
          </w:p>
        </w:tc>
        <w:tc>
          <w:tcPr>
            <w:tcW w:w="0" w:type="auto"/>
            <w:tcMar>
              <w:top w:w="150" w:type="dxa"/>
              <w:left w:w="240" w:type="dxa"/>
              <w:bottom w:w="150" w:type="dxa"/>
              <w:right w:w="0" w:type="dxa"/>
            </w:tcMar>
            <w:vAlign w:val="center"/>
            <w:hideMark/>
          </w:tcPr>
          <w:p w14:paraId="4D6A0C98" w14:textId="77777777" w:rsidR="000C08DA" w:rsidRPr="000C08DA" w:rsidRDefault="000C08DA" w:rsidP="000C08DA">
            <w:pPr>
              <w:widowControl/>
              <w:rPr>
                <w:rFonts w:ascii="Times New Roman" w:hAnsi="Times New Roman" w:cs="Times New Roman"/>
                <w:sz w:val="24"/>
                <w:szCs w:val="24"/>
              </w:rPr>
            </w:pPr>
            <w:r w:rsidRPr="000C08DA">
              <w:rPr>
                <w:rFonts w:ascii="Segoe UI Symbol" w:hAnsi="Segoe UI Symbol" w:cs="Segoe UI Symbol"/>
                <w:sz w:val="24"/>
                <w:szCs w:val="24"/>
              </w:rPr>
              <w:t>✓</w:t>
            </w:r>
            <w:r w:rsidRPr="000C08DA">
              <w:rPr>
                <w:rFonts w:ascii="Times New Roman" w:hAnsi="Times New Roman" w:cs="Times New Roman"/>
                <w:sz w:val="24"/>
                <w:szCs w:val="24"/>
              </w:rPr>
              <w:t xml:space="preserve"> OK</w:t>
            </w:r>
          </w:p>
        </w:tc>
      </w:tr>
      <w:tr w:rsidR="000C08DA" w:rsidRPr="000C08DA" w14:paraId="7F543C2C" w14:textId="77777777" w:rsidTr="007E29B2">
        <w:trPr>
          <w:trHeight w:val="340"/>
        </w:trPr>
        <w:tc>
          <w:tcPr>
            <w:tcW w:w="0" w:type="auto"/>
            <w:shd w:val="clear" w:color="auto" w:fill="F2F2F2" w:themeFill="background1" w:themeFillShade="F2"/>
            <w:tcMar>
              <w:top w:w="150" w:type="dxa"/>
              <w:left w:w="0" w:type="dxa"/>
              <w:bottom w:w="150" w:type="dxa"/>
              <w:right w:w="240" w:type="dxa"/>
            </w:tcMar>
            <w:vAlign w:val="center"/>
            <w:hideMark/>
          </w:tcPr>
          <w:p w14:paraId="4B13D6F2"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Other</w:t>
            </w:r>
          </w:p>
        </w:tc>
        <w:tc>
          <w:tcPr>
            <w:tcW w:w="0" w:type="auto"/>
            <w:shd w:val="clear" w:color="auto" w:fill="F2F2F2" w:themeFill="background1" w:themeFillShade="F2"/>
            <w:tcMar>
              <w:top w:w="150" w:type="dxa"/>
              <w:left w:w="240" w:type="dxa"/>
              <w:bottom w:w="150" w:type="dxa"/>
              <w:right w:w="240" w:type="dxa"/>
            </w:tcMar>
            <w:vAlign w:val="center"/>
            <w:hideMark/>
          </w:tcPr>
          <w:p w14:paraId="5329D310"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ethnicity</w:t>
            </w:r>
          </w:p>
        </w:tc>
        <w:tc>
          <w:tcPr>
            <w:tcW w:w="0" w:type="auto"/>
            <w:shd w:val="clear" w:color="auto" w:fill="F2F2F2" w:themeFill="background1" w:themeFillShade="F2"/>
            <w:tcMar>
              <w:top w:w="150" w:type="dxa"/>
              <w:left w:w="240" w:type="dxa"/>
              <w:bottom w:w="150" w:type="dxa"/>
              <w:right w:w="240" w:type="dxa"/>
            </w:tcMar>
            <w:vAlign w:val="center"/>
            <w:hideMark/>
          </w:tcPr>
          <w:p w14:paraId="0692DBCA"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98.54%</w:t>
            </w:r>
          </w:p>
        </w:tc>
        <w:tc>
          <w:tcPr>
            <w:tcW w:w="0" w:type="auto"/>
            <w:shd w:val="clear" w:color="auto" w:fill="F2F2F2" w:themeFill="background1" w:themeFillShade="F2"/>
            <w:tcMar>
              <w:top w:w="150" w:type="dxa"/>
              <w:left w:w="240" w:type="dxa"/>
              <w:bottom w:w="150" w:type="dxa"/>
              <w:right w:w="240" w:type="dxa"/>
            </w:tcMar>
            <w:vAlign w:val="center"/>
            <w:hideMark/>
          </w:tcPr>
          <w:p w14:paraId="4B069917"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88.10%</w:t>
            </w:r>
          </w:p>
        </w:tc>
        <w:tc>
          <w:tcPr>
            <w:tcW w:w="0" w:type="auto"/>
            <w:shd w:val="clear" w:color="auto" w:fill="F2F2F2" w:themeFill="background1" w:themeFillShade="F2"/>
            <w:tcMar>
              <w:top w:w="150" w:type="dxa"/>
              <w:left w:w="240" w:type="dxa"/>
              <w:bottom w:w="150" w:type="dxa"/>
              <w:right w:w="240" w:type="dxa"/>
            </w:tcMar>
            <w:vAlign w:val="center"/>
            <w:hideMark/>
          </w:tcPr>
          <w:p w14:paraId="572BF6D9" w14:textId="77777777" w:rsidR="000C08DA" w:rsidRPr="000C08DA" w:rsidRDefault="000C08DA" w:rsidP="000C08DA">
            <w:pPr>
              <w:widowControl/>
              <w:rPr>
                <w:rFonts w:ascii="Times New Roman" w:hAnsi="Times New Roman" w:cs="Times New Roman"/>
                <w:sz w:val="24"/>
                <w:szCs w:val="24"/>
              </w:rPr>
            </w:pPr>
            <w:r w:rsidRPr="000C08DA">
              <w:rPr>
                <w:rFonts w:ascii="Times New Roman" w:hAnsi="Times New Roman" w:cs="Times New Roman"/>
                <w:sz w:val="24"/>
                <w:szCs w:val="24"/>
              </w:rPr>
              <w:t>−10.44</w:t>
            </w:r>
          </w:p>
        </w:tc>
        <w:tc>
          <w:tcPr>
            <w:tcW w:w="0" w:type="auto"/>
            <w:shd w:val="clear" w:color="auto" w:fill="F2F2F2" w:themeFill="background1" w:themeFillShade="F2"/>
            <w:tcMar>
              <w:top w:w="150" w:type="dxa"/>
              <w:left w:w="240" w:type="dxa"/>
              <w:bottom w:w="150" w:type="dxa"/>
              <w:right w:w="240" w:type="dxa"/>
            </w:tcMar>
            <w:vAlign w:val="center"/>
            <w:hideMark/>
          </w:tcPr>
          <w:p w14:paraId="4CA9C776" w14:textId="77777777" w:rsidR="000C08DA" w:rsidRPr="000C08DA" w:rsidRDefault="000C08DA" w:rsidP="000C08DA">
            <w:pPr>
              <w:widowControl/>
              <w:rPr>
                <w:rFonts w:ascii="Times New Roman" w:hAnsi="Times New Roman" w:cs="Times New Roman"/>
                <w:sz w:val="24"/>
                <w:szCs w:val="24"/>
              </w:rPr>
            </w:pPr>
            <w:r w:rsidRPr="000C08DA">
              <w:rPr>
                <w:rFonts w:ascii="Segoe UI Symbol" w:hAnsi="Segoe UI Symbol" w:cs="Segoe UI Symbol"/>
                <w:sz w:val="24"/>
                <w:szCs w:val="24"/>
              </w:rPr>
              <w:t>✓</w:t>
            </w:r>
            <w:r w:rsidRPr="000C08DA">
              <w:rPr>
                <w:rFonts w:ascii="Times New Roman" w:hAnsi="Times New Roman" w:cs="Times New Roman"/>
                <w:sz w:val="24"/>
                <w:szCs w:val="24"/>
              </w:rPr>
              <w:t xml:space="preserve"> OK (ratio &gt;0.80)</w:t>
            </w:r>
          </w:p>
        </w:tc>
        <w:tc>
          <w:tcPr>
            <w:tcW w:w="0" w:type="auto"/>
            <w:shd w:val="clear" w:color="auto" w:fill="F2F2F2" w:themeFill="background1" w:themeFillShade="F2"/>
            <w:tcMar>
              <w:top w:w="150" w:type="dxa"/>
              <w:left w:w="240" w:type="dxa"/>
              <w:bottom w:w="150" w:type="dxa"/>
              <w:right w:w="0" w:type="dxa"/>
            </w:tcMar>
            <w:vAlign w:val="center"/>
            <w:hideMark/>
          </w:tcPr>
          <w:p w14:paraId="2855D189" w14:textId="4F97DE97" w:rsidR="000C08DA" w:rsidRPr="000C08DA" w:rsidRDefault="000C08DA" w:rsidP="000C08DA">
            <w:pPr>
              <w:widowControl/>
              <w:rPr>
                <w:rFonts w:ascii="Times New Roman" w:hAnsi="Times New Roman" w:cs="Times New Roman"/>
                <w:sz w:val="24"/>
                <w:szCs w:val="24"/>
              </w:rPr>
            </w:pPr>
            <w:r w:rsidRPr="000C08DA">
              <w:rPr>
                <w:rFonts w:ascii="Segoe UI Symbol" w:hAnsi="Segoe UI Symbol" w:cs="Segoe UI Symbol"/>
                <w:sz w:val="24"/>
                <w:szCs w:val="24"/>
              </w:rPr>
              <w:t>⚠</w:t>
            </w:r>
            <w:r w:rsidRPr="000C08DA">
              <w:rPr>
                <w:rFonts w:ascii="Times New Roman" w:hAnsi="Times New Roman" w:cs="Times New Roman"/>
                <w:sz w:val="24"/>
                <w:szCs w:val="24"/>
              </w:rPr>
              <w:t xml:space="preserve"> AMBER (1.9pp gap)</w:t>
            </w:r>
          </w:p>
        </w:tc>
      </w:tr>
    </w:tbl>
    <w:p w14:paraId="5D956828" w14:textId="77777777" w:rsidR="000C08DA" w:rsidRPr="007E29B2" w:rsidRDefault="000C08DA" w:rsidP="007E29B2">
      <w:pPr>
        <w:jc w:val="both"/>
        <w:rPr>
          <w:rFonts w:ascii="Times New Roman" w:hAnsi="Times New Roman" w:cs="Times New Roman"/>
          <w:sz w:val="24"/>
          <w:szCs w:val="24"/>
        </w:rPr>
      </w:pPr>
      <w:r w:rsidRPr="007E29B2">
        <w:rPr>
          <w:rFonts w:ascii="Times New Roman" w:hAnsi="Times New Roman" w:cs="Times New Roman"/>
          <w:sz w:val="24"/>
          <w:szCs w:val="24"/>
        </w:rPr>
        <w:t>Interpretation:</w:t>
      </w:r>
    </w:p>
    <w:p w14:paraId="23037AB6" w14:textId="51C70FE8" w:rsidR="007E29B2" w:rsidRDefault="007E29B2" w:rsidP="007E29B2">
      <w:pPr>
        <w:spacing w:after="40"/>
        <w:jc w:val="both"/>
        <w:rPr>
          <w:rFonts w:ascii="Times New Roman" w:hAnsi="Times New Roman" w:cs="Times New Roman"/>
          <w:sz w:val="24"/>
          <w:szCs w:val="24"/>
        </w:rPr>
      </w:pPr>
      <w:r w:rsidRPr="007E29B2">
        <w:rPr>
          <w:rFonts w:ascii="Times New Roman" w:hAnsi="Times New Roman" w:cs="Times New Roman"/>
          <w:sz w:val="24"/>
          <w:szCs w:val="24"/>
        </w:rPr>
        <w:t xml:space="preserve">The fairness assessment shows no material direct discrimination in the synthetic dataset. Under the OCC/ECOA 80% rule, all groups meet the fairness threshold with no evidence of adverse impact. Under MAS FEAT, the “Other” ethnicity group shows a small 1.9 percentage-point approval gap relative to the Chinese group in the live period. Although below the 5pp review threshold, it is flagged as an AMBER monitoring issue under FEAT’s proportionality principle. In addition, </w:t>
      </w:r>
      <w:proofErr w:type="spellStart"/>
      <w:r w:rsidRPr="007E29B2">
        <w:rPr>
          <w:rFonts w:ascii="Times New Roman" w:hAnsi="Times New Roman" w:cs="Times New Roman"/>
          <w:sz w:val="24"/>
          <w:szCs w:val="24"/>
        </w:rPr>
        <w:t>postal_district</w:t>
      </w:r>
      <w:proofErr w:type="spellEnd"/>
      <w:r w:rsidRPr="007E29B2">
        <w:rPr>
          <w:rFonts w:ascii="Times New Roman" w:hAnsi="Times New Roman" w:cs="Times New Roman"/>
          <w:sz w:val="24"/>
          <w:szCs w:val="24"/>
        </w:rPr>
        <w:t xml:space="preserve"> shows a modest correlation with ethnicity (r ≈ 0.13), indicating a potential proxy discrimination risk that requires monitoring under MAS FEAT.</w:t>
      </w:r>
    </w:p>
    <w:p w14:paraId="5CBA1132" w14:textId="77777777" w:rsidR="007E29B2" w:rsidRDefault="007E29B2">
      <w:pPr>
        <w:widowControl/>
        <w:rPr>
          <w:rFonts w:ascii="Times New Roman" w:hAnsi="Times New Roman" w:cs="Times New Roman"/>
          <w:sz w:val="24"/>
          <w:szCs w:val="24"/>
        </w:rPr>
      </w:pPr>
      <w:r>
        <w:rPr>
          <w:rFonts w:ascii="Times New Roman" w:hAnsi="Times New Roman" w:cs="Times New Roman"/>
          <w:sz w:val="24"/>
          <w:szCs w:val="24"/>
        </w:rPr>
        <w:br w:type="page"/>
      </w:r>
    </w:p>
    <w:p w14:paraId="78D7584E" w14:textId="77777777" w:rsidR="007E29B2" w:rsidRPr="007E29B2" w:rsidRDefault="007E29B2" w:rsidP="007E29B2">
      <w:pPr>
        <w:widowControl/>
        <w:jc w:val="both"/>
        <w:rPr>
          <w:rFonts w:ascii="Times New Roman" w:hAnsi="Times New Roman" w:cs="Times New Roman"/>
          <w:b/>
          <w:bCs/>
          <w:sz w:val="24"/>
          <w:szCs w:val="24"/>
        </w:rPr>
      </w:pPr>
      <w:r w:rsidRPr="007E29B2">
        <w:rPr>
          <w:rFonts w:ascii="Times New Roman" w:hAnsi="Times New Roman" w:cs="Times New Roman"/>
          <w:b/>
          <w:bCs/>
          <w:sz w:val="24"/>
          <w:szCs w:val="24"/>
        </w:rPr>
        <w:lastRenderedPageBreak/>
        <w:t>5. Sensitivity Analysis</w:t>
      </w:r>
    </w:p>
    <w:p w14:paraId="78639F8B" w14:textId="77777777" w:rsidR="007E29B2" w:rsidRDefault="007E29B2" w:rsidP="007E29B2">
      <w:pPr>
        <w:widowControl/>
        <w:jc w:val="both"/>
        <w:rPr>
          <w:rFonts w:ascii="Times New Roman" w:hAnsi="Times New Roman" w:cs="Times New Roman"/>
          <w:sz w:val="24"/>
          <w:szCs w:val="24"/>
        </w:rPr>
      </w:pPr>
      <w:r w:rsidRPr="007E29B2">
        <w:rPr>
          <w:rFonts w:ascii="Times New Roman" w:hAnsi="Times New Roman" w:cs="Times New Roman"/>
          <w:sz w:val="24"/>
          <w:szCs w:val="24"/>
        </w:rPr>
        <w:t>To answer: “How much does your conclusion change if the underlying data distribution shifts?” we performed sensitivity analysis on the PSI early</w:t>
      </w:r>
      <w:r w:rsidRPr="007E29B2">
        <w:rPr>
          <w:rFonts w:ascii="Times New Roman" w:hAnsi="Times New Roman" w:cs="Times New Roman"/>
          <w:sz w:val="24"/>
          <w:szCs w:val="24"/>
        </w:rPr>
        <w:noBreakHyphen/>
        <w:t>warning gap.</w:t>
      </w:r>
    </w:p>
    <w:p w14:paraId="3299B07A" w14:textId="77777777" w:rsidR="007E29B2" w:rsidRPr="007E29B2" w:rsidRDefault="007E29B2" w:rsidP="007E29B2">
      <w:pPr>
        <w:widowControl/>
        <w:jc w:val="both"/>
        <w:rPr>
          <w:rFonts w:ascii="Times New Roman" w:hAnsi="Times New Roman" w:cs="Times New Roman"/>
          <w:sz w:val="24"/>
          <w:szCs w:val="24"/>
        </w:rPr>
      </w:pPr>
    </w:p>
    <w:p w14:paraId="20EC9767" w14:textId="77777777" w:rsidR="007E29B2" w:rsidRPr="007E29B2" w:rsidRDefault="007E29B2" w:rsidP="007E29B2">
      <w:pPr>
        <w:widowControl/>
        <w:jc w:val="both"/>
        <w:rPr>
          <w:rFonts w:ascii="Times New Roman" w:hAnsi="Times New Roman" w:cs="Times New Roman"/>
          <w:b/>
          <w:bCs/>
          <w:sz w:val="24"/>
          <w:szCs w:val="24"/>
        </w:rPr>
      </w:pPr>
      <w:r w:rsidRPr="007E29B2">
        <w:rPr>
          <w:rFonts w:ascii="Times New Roman" w:hAnsi="Times New Roman" w:cs="Times New Roman"/>
          <w:b/>
          <w:bCs/>
          <w:sz w:val="24"/>
          <w:szCs w:val="24"/>
        </w:rPr>
        <w:t>5.1 Methodology</w:t>
      </w:r>
    </w:p>
    <w:p w14:paraId="2F79004B" w14:textId="77777777" w:rsidR="007E29B2" w:rsidRPr="007E29B2" w:rsidRDefault="007E29B2" w:rsidP="007E29B2">
      <w:pPr>
        <w:widowControl/>
        <w:jc w:val="both"/>
        <w:rPr>
          <w:rFonts w:ascii="Times New Roman" w:hAnsi="Times New Roman" w:cs="Times New Roman"/>
          <w:sz w:val="24"/>
          <w:szCs w:val="24"/>
        </w:rPr>
      </w:pPr>
      <w:r w:rsidRPr="007E29B2">
        <w:rPr>
          <w:rFonts w:ascii="Times New Roman" w:hAnsi="Times New Roman" w:cs="Times New Roman"/>
          <w:sz w:val="24"/>
          <w:szCs w:val="24"/>
        </w:rPr>
        <w:t>The original 52</w:t>
      </w:r>
      <w:r w:rsidRPr="007E29B2">
        <w:rPr>
          <w:rFonts w:ascii="Times New Roman" w:hAnsi="Times New Roman" w:cs="Times New Roman"/>
          <w:sz w:val="24"/>
          <w:szCs w:val="24"/>
        </w:rPr>
        <w:noBreakHyphen/>
        <w:t>month PSI time series was scaled by three factors to simulate different drift severities:</w:t>
      </w:r>
    </w:p>
    <w:p w14:paraId="500D07B9" w14:textId="77777777" w:rsidR="007E29B2" w:rsidRPr="007E29B2" w:rsidRDefault="007E29B2" w:rsidP="007E29B2">
      <w:pPr>
        <w:widowControl/>
        <w:numPr>
          <w:ilvl w:val="0"/>
          <w:numId w:val="8"/>
        </w:numPr>
        <w:jc w:val="both"/>
        <w:rPr>
          <w:rFonts w:ascii="Times New Roman" w:hAnsi="Times New Roman" w:cs="Times New Roman"/>
          <w:sz w:val="24"/>
          <w:szCs w:val="24"/>
        </w:rPr>
      </w:pPr>
      <w:r w:rsidRPr="007E29B2">
        <w:rPr>
          <w:rFonts w:ascii="Times New Roman" w:hAnsi="Times New Roman" w:cs="Times New Roman"/>
          <w:sz w:val="24"/>
          <w:szCs w:val="24"/>
        </w:rPr>
        <w:t>Mild drift: PSI × 0.5 (half the observed drift)</w:t>
      </w:r>
    </w:p>
    <w:p w14:paraId="1EEE332E" w14:textId="77777777" w:rsidR="007E29B2" w:rsidRPr="007E29B2" w:rsidRDefault="007E29B2" w:rsidP="007E29B2">
      <w:pPr>
        <w:widowControl/>
        <w:numPr>
          <w:ilvl w:val="0"/>
          <w:numId w:val="8"/>
        </w:numPr>
        <w:jc w:val="both"/>
        <w:rPr>
          <w:rFonts w:ascii="Times New Roman" w:hAnsi="Times New Roman" w:cs="Times New Roman"/>
          <w:sz w:val="24"/>
          <w:szCs w:val="24"/>
        </w:rPr>
      </w:pPr>
      <w:r w:rsidRPr="007E29B2">
        <w:rPr>
          <w:rFonts w:ascii="Times New Roman" w:hAnsi="Times New Roman" w:cs="Times New Roman"/>
          <w:sz w:val="24"/>
          <w:szCs w:val="24"/>
        </w:rPr>
        <w:t>Base case: PSI × 1.0 (original data)</w:t>
      </w:r>
    </w:p>
    <w:p w14:paraId="332E1F90" w14:textId="77777777" w:rsidR="007E29B2" w:rsidRPr="007E29B2" w:rsidRDefault="007E29B2" w:rsidP="007E29B2">
      <w:pPr>
        <w:widowControl/>
        <w:numPr>
          <w:ilvl w:val="0"/>
          <w:numId w:val="8"/>
        </w:numPr>
        <w:jc w:val="both"/>
        <w:rPr>
          <w:rFonts w:ascii="Times New Roman" w:hAnsi="Times New Roman" w:cs="Times New Roman"/>
          <w:sz w:val="24"/>
          <w:szCs w:val="24"/>
        </w:rPr>
      </w:pPr>
      <w:r w:rsidRPr="007E29B2">
        <w:rPr>
          <w:rFonts w:ascii="Times New Roman" w:hAnsi="Times New Roman" w:cs="Times New Roman"/>
          <w:sz w:val="24"/>
          <w:szCs w:val="24"/>
        </w:rPr>
        <w:t>Severe drift: PSI × 1.5 (50% stronger drift)</w:t>
      </w:r>
    </w:p>
    <w:p w14:paraId="0B7DA577" w14:textId="77777777" w:rsidR="007E29B2" w:rsidRPr="007E29B2" w:rsidRDefault="007E29B2" w:rsidP="007E29B2">
      <w:pPr>
        <w:widowControl/>
        <w:jc w:val="both"/>
        <w:rPr>
          <w:rFonts w:ascii="Times New Roman" w:hAnsi="Times New Roman" w:cs="Times New Roman"/>
          <w:sz w:val="24"/>
          <w:szCs w:val="24"/>
        </w:rPr>
      </w:pPr>
      <w:r w:rsidRPr="007E29B2">
        <w:rPr>
          <w:rFonts w:ascii="Times New Roman" w:hAnsi="Times New Roman" w:cs="Times New Roman"/>
          <w:sz w:val="24"/>
          <w:szCs w:val="24"/>
        </w:rPr>
        <w:t>For each scenario, we identified the first month where PSI exceeded:</w:t>
      </w:r>
    </w:p>
    <w:p w14:paraId="6E418B03" w14:textId="77777777" w:rsidR="007E29B2" w:rsidRPr="007E29B2" w:rsidRDefault="007E29B2" w:rsidP="007E29B2">
      <w:pPr>
        <w:widowControl/>
        <w:numPr>
          <w:ilvl w:val="0"/>
          <w:numId w:val="9"/>
        </w:numPr>
        <w:jc w:val="both"/>
        <w:rPr>
          <w:rFonts w:ascii="Times New Roman" w:hAnsi="Times New Roman" w:cs="Times New Roman"/>
          <w:sz w:val="24"/>
          <w:szCs w:val="24"/>
        </w:rPr>
      </w:pPr>
      <w:r w:rsidRPr="007E29B2">
        <w:rPr>
          <w:rFonts w:ascii="Times New Roman" w:hAnsi="Times New Roman" w:cs="Times New Roman"/>
          <w:sz w:val="24"/>
          <w:szCs w:val="24"/>
        </w:rPr>
        <w:t>MAS warning threshold (0.10)</w:t>
      </w:r>
    </w:p>
    <w:p w14:paraId="637EE88D" w14:textId="77777777" w:rsidR="007E29B2" w:rsidRDefault="007E29B2" w:rsidP="007E29B2">
      <w:pPr>
        <w:widowControl/>
        <w:numPr>
          <w:ilvl w:val="0"/>
          <w:numId w:val="9"/>
        </w:numPr>
        <w:jc w:val="both"/>
        <w:rPr>
          <w:rFonts w:ascii="Times New Roman" w:hAnsi="Times New Roman" w:cs="Times New Roman"/>
          <w:sz w:val="24"/>
          <w:szCs w:val="24"/>
        </w:rPr>
      </w:pPr>
      <w:r w:rsidRPr="007E29B2">
        <w:rPr>
          <w:rFonts w:ascii="Times New Roman" w:hAnsi="Times New Roman" w:cs="Times New Roman"/>
          <w:sz w:val="24"/>
          <w:szCs w:val="24"/>
        </w:rPr>
        <w:t>OCC warning threshold (0.15)</w:t>
      </w:r>
    </w:p>
    <w:p w14:paraId="070F8FD1" w14:textId="77777777" w:rsidR="007E29B2" w:rsidRPr="007E29B2" w:rsidRDefault="007E29B2" w:rsidP="007E29B2">
      <w:pPr>
        <w:widowControl/>
        <w:jc w:val="both"/>
        <w:rPr>
          <w:rFonts w:ascii="Times New Roman" w:hAnsi="Times New Roman" w:cs="Times New Roman"/>
          <w:sz w:val="24"/>
          <w:szCs w:val="24"/>
        </w:rPr>
      </w:pPr>
    </w:p>
    <w:p w14:paraId="16AC49CF" w14:textId="77777777" w:rsidR="007E29B2" w:rsidRPr="007E29B2" w:rsidRDefault="007E29B2" w:rsidP="007E29B2">
      <w:pPr>
        <w:widowControl/>
        <w:jc w:val="both"/>
        <w:rPr>
          <w:rFonts w:ascii="Times New Roman" w:hAnsi="Times New Roman" w:cs="Times New Roman"/>
          <w:b/>
          <w:bCs/>
          <w:sz w:val="24"/>
          <w:szCs w:val="24"/>
        </w:rPr>
      </w:pPr>
      <w:r w:rsidRPr="007E29B2">
        <w:rPr>
          <w:rFonts w:ascii="Times New Roman" w:hAnsi="Times New Roman" w:cs="Times New Roman"/>
          <w:b/>
          <w:bCs/>
          <w:sz w:val="24"/>
          <w:szCs w:val="24"/>
        </w:rPr>
        <w:t>5.2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701"/>
        <w:gridCol w:w="1701"/>
        <w:gridCol w:w="1843"/>
        <w:gridCol w:w="2987"/>
      </w:tblGrid>
      <w:tr w:rsidR="007E29B2" w:rsidRPr="007E29B2" w14:paraId="124AF67E" w14:textId="77777777" w:rsidTr="00EB54F3">
        <w:trPr>
          <w:trHeight w:val="227"/>
          <w:tblHeader/>
        </w:trPr>
        <w:tc>
          <w:tcPr>
            <w:tcW w:w="1838" w:type="dxa"/>
            <w:shd w:val="clear" w:color="auto" w:fill="1F3864" w:themeFill="accent1" w:themeFillShade="80"/>
            <w:tcMar>
              <w:top w:w="150" w:type="dxa"/>
              <w:left w:w="0" w:type="dxa"/>
              <w:bottom w:w="150" w:type="dxa"/>
              <w:right w:w="240" w:type="dxa"/>
            </w:tcMar>
            <w:vAlign w:val="center"/>
            <w:hideMark/>
          </w:tcPr>
          <w:p w14:paraId="6A9842D8" w14:textId="77777777" w:rsidR="007E29B2" w:rsidRPr="00EB54F3" w:rsidRDefault="007E29B2" w:rsidP="007E29B2">
            <w:pPr>
              <w:widowControl/>
              <w:rPr>
                <w:rFonts w:ascii="Times New Roman" w:hAnsi="Times New Roman" w:cs="Times New Roman"/>
                <w:b/>
                <w:bCs/>
                <w:sz w:val="24"/>
                <w:szCs w:val="24"/>
              </w:rPr>
            </w:pPr>
            <w:r w:rsidRPr="00EB54F3">
              <w:rPr>
                <w:rFonts w:ascii="Times New Roman" w:hAnsi="Times New Roman" w:cs="Times New Roman"/>
                <w:b/>
                <w:bCs/>
                <w:sz w:val="24"/>
                <w:szCs w:val="24"/>
              </w:rPr>
              <w:t>Scenario</w:t>
            </w:r>
          </w:p>
        </w:tc>
        <w:tc>
          <w:tcPr>
            <w:tcW w:w="1701" w:type="dxa"/>
            <w:shd w:val="clear" w:color="auto" w:fill="1F3864" w:themeFill="accent1" w:themeFillShade="80"/>
            <w:tcMar>
              <w:top w:w="150" w:type="dxa"/>
              <w:left w:w="240" w:type="dxa"/>
              <w:bottom w:w="150" w:type="dxa"/>
              <w:right w:w="240" w:type="dxa"/>
            </w:tcMar>
            <w:vAlign w:val="center"/>
            <w:hideMark/>
          </w:tcPr>
          <w:p w14:paraId="6E493E98" w14:textId="77777777" w:rsidR="007E29B2" w:rsidRPr="00EB54F3" w:rsidRDefault="007E29B2" w:rsidP="007E29B2">
            <w:pPr>
              <w:widowControl/>
              <w:rPr>
                <w:rFonts w:ascii="Times New Roman" w:hAnsi="Times New Roman" w:cs="Times New Roman"/>
                <w:b/>
                <w:bCs/>
                <w:sz w:val="24"/>
                <w:szCs w:val="24"/>
              </w:rPr>
            </w:pPr>
            <w:r w:rsidRPr="00EB54F3">
              <w:rPr>
                <w:rFonts w:ascii="Times New Roman" w:hAnsi="Times New Roman" w:cs="Times New Roman"/>
                <w:b/>
                <w:bCs/>
                <w:sz w:val="24"/>
                <w:szCs w:val="24"/>
              </w:rPr>
              <w:t>MAS First Warning</w:t>
            </w:r>
          </w:p>
        </w:tc>
        <w:tc>
          <w:tcPr>
            <w:tcW w:w="1701" w:type="dxa"/>
            <w:shd w:val="clear" w:color="auto" w:fill="1F3864" w:themeFill="accent1" w:themeFillShade="80"/>
            <w:tcMar>
              <w:top w:w="150" w:type="dxa"/>
              <w:left w:w="240" w:type="dxa"/>
              <w:bottom w:w="150" w:type="dxa"/>
              <w:right w:w="240" w:type="dxa"/>
            </w:tcMar>
            <w:vAlign w:val="center"/>
            <w:hideMark/>
          </w:tcPr>
          <w:p w14:paraId="0AF33D2A" w14:textId="77777777" w:rsidR="007E29B2" w:rsidRPr="00EB54F3" w:rsidRDefault="007E29B2" w:rsidP="007E29B2">
            <w:pPr>
              <w:widowControl/>
              <w:rPr>
                <w:rFonts w:ascii="Times New Roman" w:hAnsi="Times New Roman" w:cs="Times New Roman"/>
                <w:b/>
                <w:bCs/>
                <w:sz w:val="24"/>
                <w:szCs w:val="24"/>
              </w:rPr>
            </w:pPr>
            <w:r w:rsidRPr="00EB54F3">
              <w:rPr>
                <w:rFonts w:ascii="Times New Roman" w:hAnsi="Times New Roman" w:cs="Times New Roman"/>
                <w:b/>
                <w:bCs/>
                <w:sz w:val="24"/>
                <w:szCs w:val="24"/>
              </w:rPr>
              <w:t>OCC First Warning</w:t>
            </w:r>
          </w:p>
        </w:tc>
        <w:tc>
          <w:tcPr>
            <w:tcW w:w="1843" w:type="dxa"/>
            <w:shd w:val="clear" w:color="auto" w:fill="1F3864" w:themeFill="accent1" w:themeFillShade="80"/>
            <w:tcMar>
              <w:top w:w="150" w:type="dxa"/>
              <w:left w:w="240" w:type="dxa"/>
              <w:bottom w:w="150" w:type="dxa"/>
              <w:right w:w="240" w:type="dxa"/>
            </w:tcMar>
            <w:vAlign w:val="center"/>
            <w:hideMark/>
          </w:tcPr>
          <w:p w14:paraId="307E361F" w14:textId="77777777" w:rsidR="007E29B2" w:rsidRPr="00EB54F3" w:rsidRDefault="007E29B2" w:rsidP="007E29B2">
            <w:pPr>
              <w:widowControl/>
              <w:rPr>
                <w:rFonts w:ascii="Times New Roman" w:hAnsi="Times New Roman" w:cs="Times New Roman"/>
                <w:b/>
                <w:bCs/>
                <w:sz w:val="24"/>
                <w:szCs w:val="24"/>
              </w:rPr>
            </w:pPr>
            <w:r w:rsidRPr="00EB54F3">
              <w:rPr>
                <w:rFonts w:ascii="Times New Roman" w:hAnsi="Times New Roman" w:cs="Times New Roman"/>
                <w:b/>
                <w:bCs/>
                <w:sz w:val="24"/>
                <w:szCs w:val="24"/>
              </w:rPr>
              <w:t>Gap (months)</w:t>
            </w:r>
          </w:p>
        </w:tc>
        <w:tc>
          <w:tcPr>
            <w:tcW w:w="2987" w:type="dxa"/>
            <w:shd w:val="clear" w:color="auto" w:fill="1F3864" w:themeFill="accent1" w:themeFillShade="80"/>
            <w:tcMar>
              <w:top w:w="150" w:type="dxa"/>
              <w:left w:w="240" w:type="dxa"/>
              <w:bottom w:w="150" w:type="dxa"/>
              <w:right w:w="240" w:type="dxa"/>
            </w:tcMar>
            <w:vAlign w:val="center"/>
            <w:hideMark/>
          </w:tcPr>
          <w:p w14:paraId="74EF1023" w14:textId="77777777" w:rsidR="007E29B2" w:rsidRPr="00EB54F3" w:rsidRDefault="007E29B2" w:rsidP="007E29B2">
            <w:pPr>
              <w:widowControl/>
              <w:rPr>
                <w:rFonts w:ascii="Times New Roman" w:hAnsi="Times New Roman" w:cs="Times New Roman"/>
                <w:b/>
                <w:bCs/>
                <w:sz w:val="24"/>
                <w:szCs w:val="24"/>
              </w:rPr>
            </w:pPr>
            <w:r w:rsidRPr="00EB54F3">
              <w:rPr>
                <w:rFonts w:ascii="Times New Roman" w:hAnsi="Times New Roman" w:cs="Times New Roman"/>
                <w:b/>
                <w:bCs/>
                <w:sz w:val="24"/>
                <w:szCs w:val="24"/>
              </w:rPr>
              <w:t>Conclusion</w:t>
            </w:r>
          </w:p>
        </w:tc>
      </w:tr>
      <w:tr w:rsidR="007E29B2" w:rsidRPr="007E29B2" w14:paraId="0156FDC1" w14:textId="77777777" w:rsidTr="00EB54F3">
        <w:trPr>
          <w:trHeight w:val="495"/>
        </w:trPr>
        <w:tc>
          <w:tcPr>
            <w:tcW w:w="1838" w:type="dxa"/>
            <w:tcMar>
              <w:top w:w="150" w:type="dxa"/>
              <w:left w:w="0" w:type="dxa"/>
              <w:bottom w:w="150" w:type="dxa"/>
              <w:right w:w="240" w:type="dxa"/>
            </w:tcMar>
            <w:vAlign w:val="center"/>
            <w:hideMark/>
          </w:tcPr>
          <w:p w14:paraId="60DF0947"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Mild drift (×0.5)</w:t>
            </w:r>
          </w:p>
        </w:tc>
        <w:tc>
          <w:tcPr>
            <w:tcW w:w="1701" w:type="dxa"/>
            <w:tcMar>
              <w:top w:w="150" w:type="dxa"/>
              <w:left w:w="240" w:type="dxa"/>
              <w:bottom w:w="150" w:type="dxa"/>
              <w:right w:w="240" w:type="dxa"/>
            </w:tcMar>
            <w:vAlign w:val="center"/>
            <w:hideMark/>
          </w:tcPr>
          <w:p w14:paraId="6773C9E6"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Sep 2025</w:t>
            </w:r>
          </w:p>
        </w:tc>
        <w:tc>
          <w:tcPr>
            <w:tcW w:w="1701" w:type="dxa"/>
            <w:tcMar>
              <w:top w:w="150" w:type="dxa"/>
              <w:left w:w="240" w:type="dxa"/>
              <w:bottom w:w="150" w:type="dxa"/>
              <w:right w:w="240" w:type="dxa"/>
            </w:tcMar>
            <w:vAlign w:val="center"/>
            <w:hideMark/>
          </w:tcPr>
          <w:p w14:paraId="601565FA"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Nov 2025</w:t>
            </w:r>
          </w:p>
        </w:tc>
        <w:tc>
          <w:tcPr>
            <w:tcW w:w="1843" w:type="dxa"/>
            <w:tcMar>
              <w:top w:w="150" w:type="dxa"/>
              <w:left w:w="240" w:type="dxa"/>
              <w:bottom w:w="150" w:type="dxa"/>
              <w:right w:w="240" w:type="dxa"/>
            </w:tcMar>
            <w:vAlign w:val="center"/>
            <w:hideMark/>
          </w:tcPr>
          <w:p w14:paraId="2FF61777"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2 months</w:t>
            </w:r>
          </w:p>
        </w:tc>
        <w:tc>
          <w:tcPr>
            <w:tcW w:w="2987" w:type="dxa"/>
            <w:tcMar>
              <w:top w:w="150" w:type="dxa"/>
              <w:left w:w="240" w:type="dxa"/>
              <w:bottom w:w="150" w:type="dxa"/>
              <w:right w:w="0" w:type="dxa"/>
            </w:tcMar>
            <w:vAlign w:val="center"/>
            <w:hideMark/>
          </w:tcPr>
          <w:p w14:paraId="0EEEFC70"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MAS still warns first, but gap narrows</w:t>
            </w:r>
          </w:p>
        </w:tc>
      </w:tr>
      <w:tr w:rsidR="007E29B2" w:rsidRPr="007E29B2" w14:paraId="61552981" w14:textId="77777777" w:rsidTr="00EB54F3">
        <w:trPr>
          <w:trHeight w:val="227"/>
        </w:trPr>
        <w:tc>
          <w:tcPr>
            <w:tcW w:w="1838" w:type="dxa"/>
            <w:shd w:val="clear" w:color="auto" w:fill="F2F2F2" w:themeFill="background1" w:themeFillShade="F2"/>
            <w:tcMar>
              <w:top w:w="150" w:type="dxa"/>
              <w:left w:w="0" w:type="dxa"/>
              <w:bottom w:w="150" w:type="dxa"/>
              <w:right w:w="240" w:type="dxa"/>
            </w:tcMar>
            <w:vAlign w:val="center"/>
            <w:hideMark/>
          </w:tcPr>
          <w:p w14:paraId="015176E9"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Base case (×1.0)</w:t>
            </w:r>
          </w:p>
        </w:tc>
        <w:tc>
          <w:tcPr>
            <w:tcW w:w="1701" w:type="dxa"/>
            <w:shd w:val="clear" w:color="auto" w:fill="F2F2F2" w:themeFill="background1" w:themeFillShade="F2"/>
            <w:tcMar>
              <w:top w:w="150" w:type="dxa"/>
              <w:left w:w="240" w:type="dxa"/>
              <w:bottom w:w="150" w:type="dxa"/>
              <w:right w:w="240" w:type="dxa"/>
            </w:tcMar>
            <w:vAlign w:val="center"/>
            <w:hideMark/>
          </w:tcPr>
          <w:p w14:paraId="2D4B790D"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Apr 2025</w:t>
            </w:r>
          </w:p>
        </w:tc>
        <w:tc>
          <w:tcPr>
            <w:tcW w:w="1701" w:type="dxa"/>
            <w:shd w:val="clear" w:color="auto" w:fill="F2F2F2" w:themeFill="background1" w:themeFillShade="F2"/>
            <w:tcMar>
              <w:top w:w="150" w:type="dxa"/>
              <w:left w:w="240" w:type="dxa"/>
              <w:bottom w:w="150" w:type="dxa"/>
              <w:right w:w="240" w:type="dxa"/>
            </w:tcMar>
            <w:vAlign w:val="center"/>
            <w:hideMark/>
          </w:tcPr>
          <w:p w14:paraId="436FB3BC"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Sep 2025</w:t>
            </w:r>
          </w:p>
        </w:tc>
        <w:tc>
          <w:tcPr>
            <w:tcW w:w="1843" w:type="dxa"/>
            <w:shd w:val="clear" w:color="auto" w:fill="F2F2F2" w:themeFill="background1" w:themeFillShade="F2"/>
            <w:tcMar>
              <w:top w:w="150" w:type="dxa"/>
              <w:left w:w="240" w:type="dxa"/>
              <w:bottom w:w="150" w:type="dxa"/>
              <w:right w:w="240" w:type="dxa"/>
            </w:tcMar>
            <w:vAlign w:val="center"/>
            <w:hideMark/>
          </w:tcPr>
          <w:p w14:paraId="2F4F13D8"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5 months</w:t>
            </w:r>
          </w:p>
        </w:tc>
        <w:tc>
          <w:tcPr>
            <w:tcW w:w="2987" w:type="dxa"/>
            <w:shd w:val="clear" w:color="auto" w:fill="F2F2F2" w:themeFill="background1" w:themeFillShade="F2"/>
            <w:tcMar>
              <w:top w:w="150" w:type="dxa"/>
              <w:left w:w="240" w:type="dxa"/>
              <w:bottom w:w="150" w:type="dxa"/>
              <w:right w:w="0" w:type="dxa"/>
            </w:tcMar>
            <w:vAlign w:val="center"/>
            <w:hideMark/>
          </w:tcPr>
          <w:p w14:paraId="07B90DDA"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Original finding</w:t>
            </w:r>
          </w:p>
        </w:tc>
      </w:tr>
      <w:tr w:rsidR="007E29B2" w:rsidRPr="007E29B2" w14:paraId="1A04BCCE" w14:textId="77777777" w:rsidTr="00EB54F3">
        <w:trPr>
          <w:trHeight w:val="227"/>
        </w:trPr>
        <w:tc>
          <w:tcPr>
            <w:tcW w:w="1838" w:type="dxa"/>
            <w:tcMar>
              <w:top w:w="150" w:type="dxa"/>
              <w:left w:w="0" w:type="dxa"/>
              <w:bottom w:w="150" w:type="dxa"/>
              <w:right w:w="240" w:type="dxa"/>
            </w:tcMar>
            <w:vAlign w:val="center"/>
            <w:hideMark/>
          </w:tcPr>
          <w:p w14:paraId="1B261461"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Severe drift (×1.5)</w:t>
            </w:r>
          </w:p>
        </w:tc>
        <w:tc>
          <w:tcPr>
            <w:tcW w:w="1701" w:type="dxa"/>
            <w:tcMar>
              <w:top w:w="150" w:type="dxa"/>
              <w:left w:w="240" w:type="dxa"/>
              <w:bottom w:w="150" w:type="dxa"/>
              <w:right w:w="240" w:type="dxa"/>
            </w:tcMar>
            <w:vAlign w:val="center"/>
            <w:hideMark/>
          </w:tcPr>
          <w:p w14:paraId="1EE890E7"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Feb 2025</w:t>
            </w:r>
          </w:p>
        </w:tc>
        <w:tc>
          <w:tcPr>
            <w:tcW w:w="1701" w:type="dxa"/>
            <w:tcMar>
              <w:top w:w="150" w:type="dxa"/>
              <w:left w:w="240" w:type="dxa"/>
              <w:bottom w:w="150" w:type="dxa"/>
              <w:right w:w="240" w:type="dxa"/>
            </w:tcMar>
            <w:vAlign w:val="center"/>
            <w:hideMark/>
          </w:tcPr>
          <w:p w14:paraId="5B0BA237"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Feb 2025</w:t>
            </w:r>
          </w:p>
        </w:tc>
        <w:tc>
          <w:tcPr>
            <w:tcW w:w="1843" w:type="dxa"/>
            <w:tcMar>
              <w:top w:w="150" w:type="dxa"/>
              <w:left w:w="240" w:type="dxa"/>
              <w:bottom w:w="150" w:type="dxa"/>
              <w:right w:w="240" w:type="dxa"/>
            </w:tcMar>
            <w:vAlign w:val="center"/>
            <w:hideMark/>
          </w:tcPr>
          <w:p w14:paraId="685B0FF0"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0 months</w:t>
            </w:r>
          </w:p>
        </w:tc>
        <w:tc>
          <w:tcPr>
            <w:tcW w:w="2987" w:type="dxa"/>
            <w:tcMar>
              <w:top w:w="150" w:type="dxa"/>
              <w:left w:w="240" w:type="dxa"/>
              <w:bottom w:w="150" w:type="dxa"/>
              <w:right w:w="0" w:type="dxa"/>
            </w:tcMar>
            <w:vAlign w:val="center"/>
            <w:hideMark/>
          </w:tcPr>
          <w:p w14:paraId="087F62FA" w14:textId="77777777" w:rsidR="007E29B2" w:rsidRPr="007E29B2" w:rsidRDefault="007E29B2" w:rsidP="007E29B2">
            <w:pPr>
              <w:widowControl/>
              <w:rPr>
                <w:rFonts w:ascii="Times New Roman" w:hAnsi="Times New Roman" w:cs="Times New Roman"/>
                <w:sz w:val="24"/>
                <w:szCs w:val="24"/>
              </w:rPr>
            </w:pPr>
            <w:r w:rsidRPr="007E29B2">
              <w:rPr>
                <w:rFonts w:ascii="Times New Roman" w:hAnsi="Times New Roman" w:cs="Times New Roman"/>
                <w:sz w:val="24"/>
                <w:szCs w:val="24"/>
              </w:rPr>
              <w:t>Both warn simultaneously</w:t>
            </w:r>
          </w:p>
        </w:tc>
      </w:tr>
    </w:tbl>
    <w:p w14:paraId="3CCD4BA4" w14:textId="77777777" w:rsidR="007E29B2" w:rsidRDefault="007E29B2" w:rsidP="007E29B2">
      <w:pPr>
        <w:widowControl/>
        <w:jc w:val="both"/>
        <w:rPr>
          <w:rFonts w:ascii="Times New Roman" w:hAnsi="Times New Roman" w:cs="Times New Roman"/>
          <w:sz w:val="24"/>
          <w:szCs w:val="24"/>
        </w:rPr>
      </w:pPr>
    </w:p>
    <w:p w14:paraId="42CBF637" w14:textId="7B0D0031" w:rsidR="007E29B2" w:rsidRPr="007E29B2" w:rsidRDefault="007E29B2" w:rsidP="007E29B2">
      <w:pPr>
        <w:widowControl/>
        <w:jc w:val="both"/>
        <w:rPr>
          <w:rFonts w:ascii="Times New Roman" w:hAnsi="Times New Roman" w:cs="Times New Roman"/>
          <w:b/>
          <w:bCs/>
          <w:sz w:val="24"/>
          <w:szCs w:val="24"/>
        </w:rPr>
      </w:pPr>
      <w:r w:rsidRPr="007E29B2">
        <w:rPr>
          <w:rFonts w:ascii="Times New Roman" w:hAnsi="Times New Roman" w:cs="Times New Roman"/>
          <w:b/>
          <w:bCs/>
          <w:sz w:val="24"/>
          <w:szCs w:val="24"/>
        </w:rPr>
        <w:t>5.3 Interpretation</w:t>
      </w:r>
    </w:p>
    <w:p w14:paraId="25B16B7B" w14:textId="77777777" w:rsidR="007E29B2" w:rsidRPr="007E29B2" w:rsidRDefault="007E29B2" w:rsidP="007E29B2">
      <w:pPr>
        <w:pStyle w:val="a4"/>
        <w:numPr>
          <w:ilvl w:val="0"/>
          <w:numId w:val="13"/>
        </w:numPr>
        <w:jc w:val="both"/>
        <w:rPr>
          <w:rFonts w:ascii="Times New Roman" w:hAnsi="Times New Roman" w:cs="Times New Roman"/>
          <w:sz w:val="24"/>
          <w:szCs w:val="24"/>
        </w:rPr>
      </w:pPr>
      <w:r w:rsidRPr="007E29B2">
        <w:rPr>
          <w:rFonts w:ascii="Times New Roman" w:hAnsi="Times New Roman" w:cs="Times New Roman"/>
          <w:sz w:val="24"/>
          <w:szCs w:val="24"/>
        </w:rPr>
        <w:t>The early</w:t>
      </w:r>
      <w:r w:rsidRPr="007E29B2">
        <w:rPr>
          <w:rFonts w:ascii="Times New Roman" w:hAnsi="Times New Roman" w:cs="Times New Roman"/>
          <w:sz w:val="24"/>
          <w:szCs w:val="24"/>
        </w:rPr>
        <w:noBreakHyphen/>
        <w:t>warning advantage of MAS is not universal — it depends on the drift trajectory.</w:t>
      </w:r>
    </w:p>
    <w:p w14:paraId="22751CCF" w14:textId="77777777" w:rsidR="007E29B2" w:rsidRPr="007E29B2" w:rsidRDefault="007E29B2" w:rsidP="007E29B2">
      <w:pPr>
        <w:pStyle w:val="a4"/>
        <w:numPr>
          <w:ilvl w:val="0"/>
          <w:numId w:val="13"/>
        </w:numPr>
        <w:jc w:val="both"/>
        <w:rPr>
          <w:rFonts w:ascii="Times New Roman" w:hAnsi="Times New Roman" w:cs="Times New Roman"/>
          <w:sz w:val="24"/>
          <w:szCs w:val="24"/>
        </w:rPr>
      </w:pPr>
      <w:r w:rsidRPr="007E29B2">
        <w:rPr>
          <w:rFonts w:ascii="Times New Roman" w:hAnsi="Times New Roman" w:cs="Times New Roman"/>
          <w:sz w:val="24"/>
          <w:szCs w:val="24"/>
        </w:rPr>
        <w:t>Under mild drift, MAS still warns first (2 months earlier), because the PSI crosses 0.10 before 0.15.</w:t>
      </w:r>
    </w:p>
    <w:p w14:paraId="01DF03D9" w14:textId="77777777" w:rsidR="007E29B2" w:rsidRPr="007E29B2" w:rsidRDefault="007E29B2" w:rsidP="007E29B2">
      <w:pPr>
        <w:pStyle w:val="a4"/>
        <w:numPr>
          <w:ilvl w:val="0"/>
          <w:numId w:val="13"/>
        </w:numPr>
        <w:jc w:val="both"/>
        <w:rPr>
          <w:rFonts w:ascii="Times New Roman" w:hAnsi="Times New Roman" w:cs="Times New Roman"/>
          <w:sz w:val="24"/>
          <w:szCs w:val="24"/>
        </w:rPr>
      </w:pPr>
      <w:r w:rsidRPr="007E29B2">
        <w:rPr>
          <w:rFonts w:ascii="Times New Roman" w:hAnsi="Times New Roman" w:cs="Times New Roman"/>
          <w:sz w:val="24"/>
          <w:szCs w:val="24"/>
        </w:rPr>
        <w:t>Under severe drift, both thresholds are crossed in the same month, eliminating the gap.</w:t>
      </w:r>
    </w:p>
    <w:p w14:paraId="63A35CB8" w14:textId="67E02356" w:rsidR="007E29B2" w:rsidRPr="007E29B2" w:rsidRDefault="007E29B2" w:rsidP="007E29B2">
      <w:pPr>
        <w:pStyle w:val="a4"/>
        <w:numPr>
          <w:ilvl w:val="0"/>
          <w:numId w:val="13"/>
        </w:numPr>
        <w:jc w:val="both"/>
        <w:rPr>
          <w:rFonts w:ascii="Times New Roman" w:hAnsi="Times New Roman" w:cs="Times New Roman"/>
          <w:sz w:val="24"/>
          <w:szCs w:val="24"/>
        </w:rPr>
      </w:pPr>
      <w:r w:rsidRPr="007E29B2">
        <w:rPr>
          <w:rFonts w:ascii="Times New Roman" w:hAnsi="Times New Roman" w:cs="Times New Roman"/>
          <w:sz w:val="24"/>
          <w:szCs w:val="24"/>
        </w:rPr>
        <w:t>The tool’s value is not the exact lead time, but the fact that MAS’s lower threshold forces earlier investigation. Even when the gap disappears, the absolute PSI level at which MAS requires action (0.10) is stricter than OCC’s (0.15). A jurisdiction</w:t>
      </w:r>
      <w:r w:rsidRPr="007E29B2">
        <w:rPr>
          <w:rFonts w:ascii="Times New Roman" w:hAnsi="Times New Roman" w:cs="Times New Roman"/>
          <w:sz w:val="24"/>
          <w:szCs w:val="24"/>
        </w:rPr>
        <w:noBreakHyphen/>
        <w:t>aware tool ensures that a bank does not mistakenly apply OCC’s looser standard to its Singapore operations.</w:t>
      </w:r>
    </w:p>
    <w:p w14:paraId="4769E271" w14:textId="77777777" w:rsidR="007E29B2" w:rsidRPr="007E29B2" w:rsidRDefault="007E29B2" w:rsidP="007E29B2">
      <w:pPr>
        <w:widowControl/>
        <w:jc w:val="both"/>
        <w:rPr>
          <w:rFonts w:ascii="Times New Roman" w:hAnsi="Times New Roman" w:cs="Times New Roman"/>
          <w:sz w:val="24"/>
          <w:szCs w:val="24"/>
        </w:rPr>
      </w:pPr>
    </w:p>
    <w:p w14:paraId="0D28E43A" w14:textId="77777777" w:rsidR="007E29B2" w:rsidRPr="007E29B2" w:rsidRDefault="007E29B2" w:rsidP="007E29B2">
      <w:pPr>
        <w:widowControl/>
        <w:jc w:val="both"/>
        <w:rPr>
          <w:rFonts w:ascii="Times New Roman" w:hAnsi="Times New Roman" w:cs="Times New Roman"/>
          <w:b/>
          <w:bCs/>
          <w:sz w:val="24"/>
          <w:szCs w:val="24"/>
        </w:rPr>
      </w:pPr>
      <w:r w:rsidRPr="007E29B2">
        <w:rPr>
          <w:rFonts w:ascii="Times New Roman" w:hAnsi="Times New Roman" w:cs="Times New Roman"/>
          <w:b/>
          <w:bCs/>
          <w:sz w:val="24"/>
          <w:szCs w:val="24"/>
        </w:rPr>
        <w:t>5.4 Sensitivity of Fairness Thresholds</w:t>
      </w:r>
    </w:p>
    <w:p w14:paraId="74C84654" w14:textId="77777777" w:rsidR="007E29B2" w:rsidRPr="007E29B2" w:rsidRDefault="007E29B2" w:rsidP="007E29B2">
      <w:pPr>
        <w:widowControl/>
        <w:jc w:val="both"/>
        <w:rPr>
          <w:rFonts w:ascii="Times New Roman" w:hAnsi="Times New Roman" w:cs="Times New Roman"/>
          <w:sz w:val="24"/>
          <w:szCs w:val="24"/>
        </w:rPr>
      </w:pPr>
      <w:r w:rsidRPr="007E29B2">
        <w:rPr>
          <w:rFonts w:ascii="Times New Roman" w:hAnsi="Times New Roman" w:cs="Times New Roman"/>
          <w:sz w:val="24"/>
          <w:szCs w:val="24"/>
        </w:rPr>
        <w:t xml:space="preserve">If the MAS FEAT threshold were changed from 5pp to 3pp (as proposed in some industry consultations), the ‘Other’ ethnicity group (1.9pp gap) would still not trigger a formal review, but a 3pp threshold would flag more groups under different data distributions. This highlights that threshold choice is a policy decision, not a statistical one — and </w:t>
      </w:r>
      <w:proofErr w:type="spellStart"/>
      <w:r w:rsidRPr="007E29B2">
        <w:rPr>
          <w:rFonts w:ascii="Times New Roman" w:hAnsi="Times New Roman" w:cs="Times New Roman"/>
          <w:sz w:val="24"/>
          <w:szCs w:val="24"/>
        </w:rPr>
        <w:t>VeridianMRM</w:t>
      </w:r>
      <w:proofErr w:type="spellEnd"/>
      <w:r w:rsidRPr="007E29B2">
        <w:rPr>
          <w:rFonts w:ascii="Times New Roman" w:hAnsi="Times New Roman" w:cs="Times New Roman"/>
          <w:sz w:val="24"/>
          <w:szCs w:val="24"/>
        </w:rPr>
        <w:t xml:space="preserve"> makes thresholds configurable.</w:t>
      </w:r>
    </w:p>
    <w:p w14:paraId="4630CD33" w14:textId="593CF352" w:rsidR="007E29B2" w:rsidRPr="007E29B2" w:rsidRDefault="007E29B2" w:rsidP="007E29B2">
      <w:pPr>
        <w:widowControl/>
        <w:rPr>
          <w:rFonts w:ascii="Times New Roman" w:hAnsi="Times New Roman" w:cs="Times New Roman"/>
          <w:sz w:val="24"/>
          <w:szCs w:val="24"/>
        </w:rPr>
      </w:pPr>
      <w:r>
        <w:rPr>
          <w:rFonts w:ascii="Times New Roman" w:hAnsi="Times New Roman" w:cs="Times New Roman"/>
          <w:sz w:val="24"/>
          <w:szCs w:val="24"/>
        </w:rPr>
        <w:br w:type="page"/>
      </w:r>
    </w:p>
    <w:p w14:paraId="07D86AD5" w14:textId="77777777" w:rsidR="007E29B2" w:rsidRPr="007E29B2" w:rsidRDefault="007E29B2" w:rsidP="007E29B2">
      <w:pPr>
        <w:widowControl/>
        <w:jc w:val="both"/>
        <w:rPr>
          <w:rFonts w:ascii="Times New Roman" w:hAnsi="Times New Roman" w:cs="Times New Roman"/>
          <w:b/>
          <w:bCs/>
          <w:sz w:val="24"/>
          <w:szCs w:val="24"/>
        </w:rPr>
      </w:pPr>
      <w:r w:rsidRPr="007E29B2">
        <w:rPr>
          <w:rFonts w:ascii="Times New Roman" w:hAnsi="Times New Roman" w:cs="Times New Roman"/>
          <w:b/>
          <w:bCs/>
          <w:sz w:val="24"/>
          <w:szCs w:val="24"/>
        </w:rPr>
        <w:lastRenderedPageBreak/>
        <w:t>6. Limitations and Future Enhancements with Real Data</w:t>
      </w:r>
    </w:p>
    <w:p w14:paraId="14871B63" w14:textId="77777777" w:rsidR="007E29B2" w:rsidRPr="007E29B2" w:rsidRDefault="007E29B2" w:rsidP="007E29B2">
      <w:pPr>
        <w:pStyle w:val="a4"/>
        <w:numPr>
          <w:ilvl w:val="0"/>
          <w:numId w:val="14"/>
        </w:numPr>
        <w:jc w:val="both"/>
        <w:rPr>
          <w:rFonts w:ascii="Times New Roman" w:hAnsi="Times New Roman" w:cs="Times New Roman"/>
          <w:sz w:val="24"/>
          <w:szCs w:val="24"/>
        </w:rPr>
      </w:pPr>
      <w:r w:rsidRPr="007E29B2">
        <w:rPr>
          <w:rFonts w:ascii="Times New Roman" w:hAnsi="Times New Roman" w:cs="Times New Roman"/>
          <w:sz w:val="24"/>
          <w:szCs w:val="24"/>
        </w:rPr>
        <w:t>Real bureau data (CBS Singapore, Experian) would raise model AUC from ~0.78 to 0.82–0.85.</w:t>
      </w:r>
    </w:p>
    <w:p w14:paraId="1E326CAC" w14:textId="77777777" w:rsidR="007E29B2" w:rsidRPr="007E29B2" w:rsidRDefault="007E29B2" w:rsidP="007E29B2">
      <w:pPr>
        <w:pStyle w:val="a4"/>
        <w:numPr>
          <w:ilvl w:val="0"/>
          <w:numId w:val="14"/>
        </w:numPr>
        <w:jc w:val="both"/>
        <w:rPr>
          <w:rFonts w:ascii="Times New Roman" w:hAnsi="Times New Roman" w:cs="Times New Roman"/>
          <w:sz w:val="24"/>
          <w:szCs w:val="24"/>
        </w:rPr>
      </w:pPr>
      <w:r w:rsidRPr="007E29B2">
        <w:rPr>
          <w:rFonts w:ascii="Times New Roman" w:hAnsi="Times New Roman" w:cs="Times New Roman"/>
          <w:sz w:val="24"/>
          <w:szCs w:val="24"/>
        </w:rPr>
        <w:t>Actual delinquency outcomes (12–36 months post</w:t>
      </w:r>
      <w:r w:rsidRPr="007E29B2">
        <w:rPr>
          <w:rFonts w:ascii="Times New Roman" w:hAnsi="Times New Roman" w:cs="Times New Roman"/>
          <w:sz w:val="24"/>
          <w:szCs w:val="24"/>
        </w:rPr>
        <w:noBreakHyphen/>
        <w:t>origination) would replace simulated defaults.</w:t>
      </w:r>
    </w:p>
    <w:p w14:paraId="0F7FD5CF" w14:textId="77777777" w:rsidR="007E29B2" w:rsidRPr="007E29B2" w:rsidRDefault="007E29B2" w:rsidP="007E29B2">
      <w:pPr>
        <w:pStyle w:val="a4"/>
        <w:numPr>
          <w:ilvl w:val="0"/>
          <w:numId w:val="14"/>
        </w:numPr>
        <w:jc w:val="both"/>
        <w:rPr>
          <w:rFonts w:ascii="Times New Roman" w:hAnsi="Times New Roman" w:cs="Times New Roman"/>
          <w:sz w:val="24"/>
          <w:szCs w:val="24"/>
        </w:rPr>
      </w:pPr>
      <w:r w:rsidRPr="007E29B2">
        <w:rPr>
          <w:rFonts w:ascii="Times New Roman" w:hAnsi="Times New Roman" w:cs="Times New Roman"/>
          <w:sz w:val="24"/>
          <w:szCs w:val="24"/>
        </w:rPr>
        <w:t>Separate NY Branch dataset (wholesale corporate counterparties) would enable genuine cross</w:t>
      </w:r>
      <w:r w:rsidRPr="007E29B2">
        <w:rPr>
          <w:rFonts w:ascii="Times New Roman" w:hAnsi="Times New Roman" w:cs="Times New Roman"/>
          <w:sz w:val="24"/>
          <w:szCs w:val="24"/>
        </w:rPr>
        <w:noBreakHyphen/>
        <w:t>jurisdictional comparison.</w:t>
      </w:r>
    </w:p>
    <w:p w14:paraId="363A1914" w14:textId="77777777" w:rsidR="007E29B2" w:rsidRPr="007E29B2" w:rsidRDefault="007E29B2" w:rsidP="007E29B2">
      <w:pPr>
        <w:pStyle w:val="a4"/>
        <w:numPr>
          <w:ilvl w:val="0"/>
          <w:numId w:val="14"/>
        </w:numPr>
        <w:jc w:val="both"/>
        <w:rPr>
          <w:rFonts w:ascii="Times New Roman" w:hAnsi="Times New Roman" w:cs="Times New Roman"/>
          <w:sz w:val="24"/>
          <w:szCs w:val="24"/>
        </w:rPr>
      </w:pPr>
      <w:r w:rsidRPr="007E29B2">
        <w:rPr>
          <w:rFonts w:ascii="Times New Roman" w:hAnsi="Times New Roman" w:cs="Times New Roman"/>
          <w:sz w:val="24"/>
          <w:szCs w:val="24"/>
        </w:rPr>
        <w:t>SHAP feature importance per application would operationally demonstrate MAS’s explainability requirement.</w:t>
      </w:r>
    </w:p>
    <w:p w14:paraId="6DE0D48D" w14:textId="77777777" w:rsidR="007E29B2" w:rsidRPr="007E29B2" w:rsidRDefault="007E29B2" w:rsidP="007E29B2">
      <w:pPr>
        <w:pStyle w:val="a4"/>
        <w:numPr>
          <w:ilvl w:val="0"/>
          <w:numId w:val="14"/>
        </w:numPr>
        <w:jc w:val="both"/>
        <w:rPr>
          <w:rFonts w:ascii="Times New Roman" w:hAnsi="Times New Roman" w:cs="Times New Roman"/>
          <w:sz w:val="24"/>
          <w:szCs w:val="24"/>
        </w:rPr>
      </w:pPr>
      <w:r w:rsidRPr="007E29B2">
        <w:rPr>
          <w:rFonts w:ascii="Times New Roman" w:hAnsi="Times New Roman" w:cs="Times New Roman"/>
          <w:sz w:val="24"/>
          <w:szCs w:val="24"/>
        </w:rPr>
        <w:t>Real regulatory event data (MAS SREP letters, OCC enforcement actions) would calibrate gap taxonomy.</w:t>
      </w:r>
    </w:p>
    <w:p w14:paraId="7A547D4E" w14:textId="72FCEE2B" w:rsidR="00655B8C" w:rsidRPr="002569EF" w:rsidRDefault="007E29B2" w:rsidP="002569EF">
      <w:pPr>
        <w:pStyle w:val="a4"/>
        <w:numPr>
          <w:ilvl w:val="0"/>
          <w:numId w:val="14"/>
        </w:numPr>
        <w:jc w:val="both"/>
        <w:rPr>
          <w:rFonts w:ascii="Times New Roman" w:hAnsi="Times New Roman" w:cs="Times New Roman"/>
          <w:sz w:val="24"/>
          <w:szCs w:val="24"/>
        </w:rPr>
      </w:pPr>
      <w:r w:rsidRPr="007E29B2">
        <w:rPr>
          <w:rFonts w:ascii="Times New Roman" w:hAnsi="Times New Roman" w:cs="Times New Roman"/>
          <w:sz w:val="24"/>
          <w:szCs w:val="24"/>
        </w:rPr>
        <w:t>Label shift detector — current PSI monitors score distribution; a complete tool also needs to monitor actual vs predicted default rates.</w:t>
      </w:r>
    </w:p>
    <w:sectPr w:rsidR="00655B8C" w:rsidRPr="002569E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4141"/>
    <w:multiLevelType w:val="hybridMultilevel"/>
    <w:tmpl w:val="176AB8B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 w15:restartNumberingAfterBreak="0">
    <w:nsid w:val="129353BA"/>
    <w:multiLevelType w:val="multilevel"/>
    <w:tmpl w:val="A028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03F0C"/>
    <w:multiLevelType w:val="multilevel"/>
    <w:tmpl w:val="D7C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80481"/>
    <w:multiLevelType w:val="multilevel"/>
    <w:tmpl w:val="E2EC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11ECB"/>
    <w:multiLevelType w:val="multilevel"/>
    <w:tmpl w:val="25B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651EC"/>
    <w:multiLevelType w:val="hybridMultilevel"/>
    <w:tmpl w:val="36B4EB8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B133695"/>
    <w:multiLevelType w:val="hybridMultilevel"/>
    <w:tmpl w:val="672C9F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3D5328E"/>
    <w:multiLevelType w:val="multilevel"/>
    <w:tmpl w:val="67B6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B1474"/>
    <w:multiLevelType w:val="hybridMultilevel"/>
    <w:tmpl w:val="C9E873D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77F4689"/>
    <w:multiLevelType w:val="hybridMultilevel"/>
    <w:tmpl w:val="88BABFE4"/>
    <w:lvl w:ilvl="0" w:tplc="19785BF8">
      <w:start w:val="1"/>
      <w:numFmt w:val="bullet"/>
      <w:lvlText w:val="●"/>
      <w:lvlJc w:val="left"/>
      <w:pPr>
        <w:ind w:left="720" w:hanging="360"/>
      </w:pPr>
    </w:lvl>
    <w:lvl w:ilvl="1" w:tplc="929A91E2">
      <w:start w:val="1"/>
      <w:numFmt w:val="bullet"/>
      <w:lvlText w:val="○"/>
      <w:lvlJc w:val="left"/>
      <w:pPr>
        <w:ind w:left="1440" w:hanging="360"/>
      </w:pPr>
    </w:lvl>
    <w:lvl w:ilvl="2" w:tplc="0EC4BDB8">
      <w:start w:val="1"/>
      <w:numFmt w:val="bullet"/>
      <w:lvlText w:val="■"/>
      <w:lvlJc w:val="left"/>
      <w:pPr>
        <w:ind w:left="2160" w:hanging="360"/>
      </w:pPr>
    </w:lvl>
    <w:lvl w:ilvl="3" w:tplc="D324BF40">
      <w:start w:val="1"/>
      <w:numFmt w:val="bullet"/>
      <w:lvlText w:val="●"/>
      <w:lvlJc w:val="left"/>
      <w:pPr>
        <w:ind w:left="2880" w:hanging="360"/>
      </w:pPr>
    </w:lvl>
    <w:lvl w:ilvl="4" w:tplc="8BC2255E">
      <w:start w:val="1"/>
      <w:numFmt w:val="bullet"/>
      <w:lvlText w:val="○"/>
      <w:lvlJc w:val="left"/>
      <w:pPr>
        <w:ind w:left="3600" w:hanging="360"/>
      </w:pPr>
    </w:lvl>
    <w:lvl w:ilvl="5" w:tplc="EBDE68D8">
      <w:start w:val="1"/>
      <w:numFmt w:val="bullet"/>
      <w:lvlText w:val="■"/>
      <w:lvlJc w:val="left"/>
      <w:pPr>
        <w:ind w:left="4320" w:hanging="360"/>
      </w:pPr>
    </w:lvl>
    <w:lvl w:ilvl="6" w:tplc="C66A7BC4">
      <w:start w:val="1"/>
      <w:numFmt w:val="bullet"/>
      <w:lvlText w:val="●"/>
      <w:lvlJc w:val="left"/>
      <w:pPr>
        <w:ind w:left="5040" w:hanging="360"/>
      </w:pPr>
    </w:lvl>
    <w:lvl w:ilvl="7" w:tplc="7974B4DC">
      <w:start w:val="1"/>
      <w:numFmt w:val="bullet"/>
      <w:lvlText w:val="●"/>
      <w:lvlJc w:val="left"/>
      <w:pPr>
        <w:ind w:left="5760" w:hanging="360"/>
      </w:pPr>
    </w:lvl>
    <w:lvl w:ilvl="8" w:tplc="E0B051CA">
      <w:start w:val="1"/>
      <w:numFmt w:val="bullet"/>
      <w:lvlText w:val="●"/>
      <w:lvlJc w:val="left"/>
      <w:pPr>
        <w:ind w:left="6480" w:hanging="360"/>
      </w:pPr>
    </w:lvl>
  </w:abstractNum>
  <w:abstractNum w:abstractNumId="10" w15:restartNumberingAfterBreak="0">
    <w:nsid w:val="38D16171"/>
    <w:multiLevelType w:val="hybridMultilevel"/>
    <w:tmpl w:val="0758113E"/>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434E51B2"/>
    <w:multiLevelType w:val="hybridMultilevel"/>
    <w:tmpl w:val="D1DEA9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37523F8"/>
    <w:multiLevelType w:val="multilevel"/>
    <w:tmpl w:val="3F4A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31A36"/>
    <w:multiLevelType w:val="hybridMultilevel"/>
    <w:tmpl w:val="A134B1C8"/>
    <w:lvl w:ilvl="0" w:tplc="D6286BF0">
      <w:start w:val="1"/>
      <w:numFmt w:val="bullet"/>
      <w:lvlText w:val="•"/>
      <w:lvlJc w:val="left"/>
      <w:pPr>
        <w:ind w:left="720" w:hanging="360"/>
      </w:pPr>
    </w:lvl>
    <w:lvl w:ilvl="1" w:tplc="63EA6380">
      <w:start w:val="1"/>
      <w:numFmt w:val="bullet"/>
      <w:lvlText w:val="○"/>
      <w:lvlJc w:val="left"/>
      <w:pPr>
        <w:ind w:left="1080" w:hanging="360"/>
      </w:pPr>
    </w:lvl>
    <w:lvl w:ilvl="2" w:tplc="82964A46">
      <w:numFmt w:val="decimal"/>
      <w:lvlText w:val=""/>
      <w:lvlJc w:val="left"/>
    </w:lvl>
    <w:lvl w:ilvl="3" w:tplc="E1C4C600">
      <w:numFmt w:val="decimal"/>
      <w:lvlText w:val=""/>
      <w:lvlJc w:val="left"/>
    </w:lvl>
    <w:lvl w:ilvl="4" w:tplc="AA3072FC">
      <w:numFmt w:val="decimal"/>
      <w:lvlText w:val=""/>
      <w:lvlJc w:val="left"/>
    </w:lvl>
    <w:lvl w:ilvl="5" w:tplc="BFEEBCC2">
      <w:numFmt w:val="decimal"/>
      <w:lvlText w:val=""/>
      <w:lvlJc w:val="left"/>
    </w:lvl>
    <w:lvl w:ilvl="6" w:tplc="1572FDA8">
      <w:numFmt w:val="decimal"/>
      <w:lvlText w:val=""/>
      <w:lvlJc w:val="left"/>
    </w:lvl>
    <w:lvl w:ilvl="7" w:tplc="E0884944">
      <w:numFmt w:val="decimal"/>
      <w:lvlText w:val=""/>
      <w:lvlJc w:val="left"/>
    </w:lvl>
    <w:lvl w:ilvl="8" w:tplc="4B268138">
      <w:numFmt w:val="decimal"/>
      <w:lvlText w:val=""/>
      <w:lvlJc w:val="left"/>
    </w:lvl>
  </w:abstractNum>
  <w:abstractNum w:abstractNumId="14" w15:restartNumberingAfterBreak="0">
    <w:nsid w:val="47287F63"/>
    <w:multiLevelType w:val="multilevel"/>
    <w:tmpl w:val="8A24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6093E"/>
    <w:multiLevelType w:val="hybridMultilevel"/>
    <w:tmpl w:val="9566E5C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4E66B5D"/>
    <w:multiLevelType w:val="hybridMultilevel"/>
    <w:tmpl w:val="19C4C69A"/>
    <w:lvl w:ilvl="0" w:tplc="78FE0C28">
      <w:start w:val="1"/>
      <w:numFmt w:val="decimal"/>
      <w:lvlText w:val="%1."/>
      <w:lvlJc w:val="left"/>
      <w:pPr>
        <w:ind w:left="720" w:hanging="360"/>
      </w:pPr>
    </w:lvl>
    <w:lvl w:ilvl="1" w:tplc="DE062530">
      <w:numFmt w:val="decimal"/>
      <w:lvlText w:val=""/>
      <w:lvlJc w:val="left"/>
    </w:lvl>
    <w:lvl w:ilvl="2" w:tplc="29585A00">
      <w:numFmt w:val="decimal"/>
      <w:lvlText w:val=""/>
      <w:lvlJc w:val="left"/>
    </w:lvl>
    <w:lvl w:ilvl="3" w:tplc="4C664988">
      <w:numFmt w:val="decimal"/>
      <w:lvlText w:val=""/>
      <w:lvlJc w:val="left"/>
    </w:lvl>
    <w:lvl w:ilvl="4" w:tplc="6896B386">
      <w:numFmt w:val="decimal"/>
      <w:lvlText w:val=""/>
      <w:lvlJc w:val="left"/>
    </w:lvl>
    <w:lvl w:ilvl="5" w:tplc="A1EE9742">
      <w:numFmt w:val="decimal"/>
      <w:lvlText w:val=""/>
      <w:lvlJc w:val="left"/>
    </w:lvl>
    <w:lvl w:ilvl="6" w:tplc="6E3459C6">
      <w:numFmt w:val="decimal"/>
      <w:lvlText w:val=""/>
      <w:lvlJc w:val="left"/>
    </w:lvl>
    <w:lvl w:ilvl="7" w:tplc="61F0A6BA">
      <w:numFmt w:val="decimal"/>
      <w:lvlText w:val=""/>
      <w:lvlJc w:val="left"/>
    </w:lvl>
    <w:lvl w:ilvl="8" w:tplc="A3E05DE4">
      <w:numFmt w:val="decimal"/>
      <w:lvlText w:val=""/>
      <w:lvlJc w:val="left"/>
    </w:lvl>
  </w:abstractNum>
  <w:abstractNum w:abstractNumId="17" w15:restartNumberingAfterBreak="0">
    <w:nsid w:val="76E21251"/>
    <w:multiLevelType w:val="multilevel"/>
    <w:tmpl w:val="E4CA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577559">
    <w:abstractNumId w:val="9"/>
    <w:lvlOverride w:ilvl="0">
      <w:startOverride w:val="1"/>
    </w:lvlOverride>
  </w:num>
  <w:num w:numId="2" w16cid:durableId="1694921939">
    <w:abstractNumId w:val="13"/>
    <w:lvlOverride w:ilvl="0">
      <w:startOverride w:val="1"/>
    </w:lvlOverride>
  </w:num>
  <w:num w:numId="3" w16cid:durableId="762381571">
    <w:abstractNumId w:val="15"/>
  </w:num>
  <w:num w:numId="4" w16cid:durableId="1944024988">
    <w:abstractNumId w:val="12"/>
  </w:num>
  <w:num w:numId="5" w16cid:durableId="1879782222">
    <w:abstractNumId w:val="14"/>
  </w:num>
  <w:num w:numId="6" w16cid:durableId="688068268">
    <w:abstractNumId w:val="17"/>
  </w:num>
  <w:num w:numId="7" w16cid:durableId="182282051">
    <w:abstractNumId w:val="11"/>
  </w:num>
  <w:num w:numId="8" w16cid:durableId="1262106164">
    <w:abstractNumId w:val="2"/>
  </w:num>
  <w:num w:numId="9" w16cid:durableId="1877691847">
    <w:abstractNumId w:val="4"/>
  </w:num>
  <w:num w:numId="10" w16cid:durableId="64256792">
    <w:abstractNumId w:val="1"/>
  </w:num>
  <w:num w:numId="11" w16cid:durableId="2099670088">
    <w:abstractNumId w:val="3"/>
  </w:num>
  <w:num w:numId="12" w16cid:durableId="1166359115">
    <w:abstractNumId w:val="0"/>
  </w:num>
  <w:num w:numId="13" w16cid:durableId="1291979213">
    <w:abstractNumId w:val="5"/>
  </w:num>
  <w:num w:numId="14" w16cid:durableId="767388827">
    <w:abstractNumId w:val="8"/>
  </w:num>
  <w:num w:numId="15" w16cid:durableId="889919072">
    <w:abstractNumId w:val="7"/>
  </w:num>
  <w:num w:numId="16" w16cid:durableId="675038516">
    <w:abstractNumId w:val="6"/>
  </w:num>
  <w:num w:numId="17" w16cid:durableId="18867938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B8C"/>
    <w:rsid w:val="000C08DA"/>
    <w:rsid w:val="002569EF"/>
    <w:rsid w:val="003A0C08"/>
    <w:rsid w:val="00453D1C"/>
    <w:rsid w:val="004B1A43"/>
    <w:rsid w:val="005F3139"/>
    <w:rsid w:val="006020B3"/>
    <w:rsid w:val="00655B8C"/>
    <w:rsid w:val="007E29B2"/>
    <w:rsid w:val="00970C6D"/>
    <w:rsid w:val="00B505E0"/>
    <w:rsid w:val="00D11E00"/>
    <w:rsid w:val="00D618CF"/>
    <w:rsid w:val="00E042EA"/>
    <w:rsid w:val="00EB5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FC636"/>
  <w15:docId w15:val="{BAD2C06D-94BA-41CD-B76C-692E2977F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rFonts w:eastAsia="Arial"/>
      <w:b/>
      <w:bCs/>
      <w:color w:val="1B3A6B"/>
      <w:sz w:val="30"/>
      <w:szCs w:val="30"/>
    </w:rPr>
  </w:style>
  <w:style w:type="paragraph" w:styleId="2">
    <w:name w:val="heading 2"/>
    <w:uiPriority w:val="9"/>
    <w:unhideWhenUsed/>
    <w:qFormat/>
    <w:pPr>
      <w:spacing w:before="200" w:after="90"/>
      <w:outlineLvl w:val="1"/>
    </w:pPr>
    <w:rPr>
      <w:rFonts w:eastAsia="Arial"/>
      <w:b/>
      <w:bCs/>
      <w:color w:val="0D2B4E"/>
      <w:sz w:val="25"/>
      <w:szCs w:val="25"/>
    </w:rPr>
  </w:style>
  <w:style w:type="paragraph" w:styleId="3">
    <w:name w:val="heading 3"/>
    <w:uiPriority w:val="9"/>
    <w:semiHidden/>
    <w:unhideWhenUsed/>
    <w:qFormat/>
    <w:pPr>
      <w:spacing w:before="130" w:after="60"/>
      <w:outlineLvl w:val="2"/>
    </w:pPr>
    <w:rPr>
      <w:rFonts w:eastAsia="Arial"/>
      <w:b/>
      <w:bCs/>
      <w:color w:val="007C91"/>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Strong"/>
    <w:basedOn w:val="a0"/>
    <w:uiPriority w:val="22"/>
    <w:qFormat/>
    <w:rsid w:val="00D618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7</Pages>
  <Words>1624</Words>
  <Characters>9453</Characters>
  <Application>Microsoft Office Word</Application>
  <DocSecurity>0</DocSecurity>
  <Lines>429</Lines>
  <Paragraphs>357</Paragraphs>
  <ScaleCrop>false</ScaleCrop>
  <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元 刘</cp:lastModifiedBy>
  <cp:revision>5</cp:revision>
  <dcterms:created xsi:type="dcterms:W3CDTF">2026-05-20T06:06:00Z</dcterms:created>
  <dcterms:modified xsi:type="dcterms:W3CDTF">2026-05-23T19:54:00Z</dcterms:modified>
</cp:coreProperties>
</file>