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Minimum reporting checklist for stroke recovery GWAS</w:t>
      </w:r>
    </w:p>
    <w:p>
      <w:r>
        <w:t>From: From Genetic Discovery to Clinical Utility in Stroke Recovery: Collider Bias, Phenotype Coupling, and Data Limitations (Table 6). For each item, state whether it is reported (Yes / No / Not applicable) and where. A supplement to STREGA and STROBE, not a replacement.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7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96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8064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Reported? (Yes/No/NA)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Section or page</w:t>
            </w:r>
          </w:p>
        </w:tc>
      </w:tr>
      <w:tr>
        <w:tc>
          <w:tcPr>
            <w:tcW w:type="dxa" w:w="720"/>
          </w:tcPr>
          <w:p>
            <w:r>
              <w:t>D1</w:t>
            </w:r>
          </w:p>
        </w:tc>
        <w:tc>
          <w:tcPr>
            <w:tcW w:type="dxa" w:w="1296"/>
          </w:tcPr>
          <w:p>
            <w:r>
              <w:t>Design</w:t>
            </w:r>
          </w:p>
        </w:tc>
        <w:tc>
          <w:tcPr>
            <w:tcW w:type="dxa" w:w="8064"/>
          </w:tcPr>
          <w:p>
            <w:r>
              <w:t>Case-only or population-based design stated; if case-only, the conditioning on stroke and the possibility of collider stratification bias acknowledged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D2</w:t>
            </w:r>
          </w:p>
        </w:tc>
        <w:tc>
          <w:tcPr>
            <w:tcW w:type="dxa" w:w="1296"/>
          </w:tcPr>
          <w:p>
            <w:r>
              <w:t>Design</w:t>
            </w:r>
          </w:p>
        </w:tc>
        <w:tc>
          <w:tcPr>
            <w:tcW w:type="dxa" w:w="8064"/>
          </w:tcPr>
          <w:p>
            <w:r>
              <w:t>Effect of each genome-wide significant variant on stroke incidence reported from an independent incidence GWAS, or its unavailability stated as a limitation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D3</w:t>
            </w:r>
          </w:p>
        </w:tc>
        <w:tc>
          <w:tcPr>
            <w:tcW w:type="dxa" w:w="1296"/>
          </w:tcPr>
          <w:p>
            <w:r>
              <w:t>Design</w:t>
            </w:r>
          </w:p>
        </w:tc>
        <w:tc>
          <w:tcPr>
            <w:tcW w:type="dxa" w:w="8064"/>
          </w:tcPr>
          <w:p>
            <w:r>
              <w:t>Whether baseline severity was a covariate stated and its inclusion justified; its status as a mediator or collider acknowledged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D4</w:t>
            </w:r>
          </w:p>
        </w:tc>
        <w:tc>
          <w:tcPr>
            <w:tcW w:type="dxa" w:w="1296"/>
          </w:tcPr>
          <w:p>
            <w:r>
              <w:t>Design</w:t>
            </w:r>
          </w:p>
        </w:tc>
        <w:tc>
          <w:tcPr>
            <w:tcW w:type="dxa" w:w="8064"/>
          </w:tcPr>
          <w:p>
            <w:r>
              <w:t>At least one collider-bias correction (Slope-Hunter, Dudbridge or IPW) applied to the top hits with its assumptions and their plausibility, or the omission explained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D5</w:t>
            </w:r>
          </w:p>
        </w:tc>
        <w:tc>
          <w:tcPr>
            <w:tcW w:type="dxa" w:w="1296"/>
          </w:tcPr>
          <w:p>
            <w:r>
              <w:t>Design</w:t>
            </w:r>
          </w:p>
        </w:tc>
        <w:tc>
          <w:tcPr>
            <w:tcW w:type="dxa" w:w="8064"/>
          </w:tcPr>
          <w:p>
            <w:r>
              <w:t>Social determinants (socioeconomic position, access to care and rehabilitation, place of residence): whether measured, and whether treated as confounder, mediator or collider, with the reason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P1</w:t>
            </w:r>
          </w:p>
        </w:tc>
        <w:tc>
          <w:tcPr>
            <w:tcW w:type="dxa" w:w="1296"/>
          </w:tcPr>
          <w:p>
            <w:r>
              <w:t>Phenotype</w:t>
            </w:r>
          </w:p>
        </w:tc>
        <w:tc>
          <w:tcPr>
            <w:tcW w:type="dxa" w:w="8064"/>
          </w:tcPr>
          <w:p>
            <w:r>
              <w:t>Exact phenotype definition: scale, time point of assessment and the Roundtable recovery phase it falls in, and ascertainment method (prospective, record review, ICD code)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P2</w:t>
            </w:r>
          </w:p>
        </w:tc>
        <w:tc>
          <w:tcPr>
            <w:tcW w:type="dxa" w:w="1296"/>
          </w:tcPr>
          <w:p>
            <w:r>
              <w:t>Phenotype</w:t>
            </w:r>
          </w:p>
        </w:tc>
        <w:tc>
          <w:tcPr>
            <w:tcW w:type="dxa" w:w="8064"/>
          </w:tcPr>
          <w:p>
            <w:r>
              <w:t>Dichotomization and its cut-point stated; if ordinal analysis was used, whether the proportional-odds assumption was tested and held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P3</w:t>
            </w:r>
          </w:p>
        </w:tc>
        <w:tc>
          <w:tcPr>
            <w:tcW w:type="dxa" w:w="1296"/>
          </w:tcPr>
          <w:p>
            <w:r>
              <w:t>Phenotype</w:t>
            </w:r>
          </w:p>
        </w:tc>
        <w:tc>
          <w:tcPr>
            <w:tcW w:type="dxa" w:w="8064"/>
          </w:tcPr>
          <w:p>
            <w:r>
              <w:t>For continuous phenotypes, the correlation between baseline severity and the follow-up measure, and whether baseline was a covariate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P3a</w:t>
            </w:r>
          </w:p>
        </w:tc>
        <w:tc>
          <w:tcPr>
            <w:tcW w:type="dxa" w:w="1296"/>
          </w:tcPr>
          <w:p>
            <w:r>
              <w:t>Phenotype</w:t>
            </w:r>
          </w:p>
        </w:tc>
        <w:tc>
          <w:tcPr>
            <w:tcW w:type="dxa" w:w="8064"/>
          </w:tcPr>
          <w:p>
            <w:r>
              <w:t>For a change score, σ₀, σ₁ and ρ of the two measurements, the identity value of the baseline-change correlation and its equal-variance null −√((1 − ρ)/2)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P3b</w:t>
            </w:r>
          </w:p>
        </w:tc>
        <w:tc>
          <w:tcPr>
            <w:tcW w:type="dxa" w:w="1296"/>
          </w:tcPr>
          <w:p>
            <w:r>
              <w:t>Phenotype</w:t>
            </w:r>
          </w:p>
        </w:tc>
        <w:tc>
          <w:tcPr>
            <w:tcW w:type="dxa" w:w="8064"/>
          </w:tcPr>
          <w:p>
            <w:r>
              <w:t>For a change score analyzed with, or adjusted for, its baseline: the reliability of the baseline instrument and the implied residual leakage ρ_T b₀(1 − λ) for the top loci, or the association repeated on a non-overlapping interval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P3c</w:t>
            </w:r>
          </w:p>
        </w:tc>
        <w:tc>
          <w:tcPr>
            <w:tcW w:type="dxa" w:w="1296"/>
          </w:tcPr>
          <w:p>
            <w:r>
              <w:t>Phenotype</w:t>
            </w:r>
          </w:p>
        </w:tc>
        <w:tc>
          <w:tcPr>
            <w:tcW w:type="dxa" w:w="8064"/>
          </w:tcPr>
          <w:p>
            <w:r>
              <w:t>Whether the GWAS phenotype is a change score, a follow-up score or a baseline-adjusted follow-up score, and the sign convention of the change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P4</w:t>
            </w:r>
          </w:p>
        </w:tc>
        <w:tc>
          <w:tcPr>
            <w:tcW w:type="dxa" w:w="1296"/>
          </w:tcPr>
          <w:p>
            <w:r>
              <w:t>Phenotype</w:t>
            </w:r>
          </w:p>
        </w:tc>
        <w:tc>
          <w:tcPr>
            <w:tcW w:type="dxa" w:w="8064"/>
          </w:tcPr>
          <w:p>
            <w:r>
              <w:t>Correlation between the primary phenotype and any secondary phenotype used in the same study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P5</w:t>
            </w:r>
          </w:p>
        </w:tc>
        <w:tc>
          <w:tcPr>
            <w:tcW w:type="dxa" w:w="1296"/>
          </w:tcPr>
          <w:p>
            <w:r>
              <w:t>Phenotype</w:t>
            </w:r>
          </w:p>
        </w:tc>
        <w:tc>
          <w:tcPr>
            <w:tcW w:type="dxa" w:w="8064"/>
          </w:tcPr>
          <w:p>
            <w:r>
              <w:t>For cohorts treated with drugs with known pharmacogenetic interactions (e.g., clopidogrel and CYP2C19), genotype-stratified analyses, or the reason they were not performed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S1</w:t>
            </w:r>
          </w:p>
        </w:tc>
        <w:tc>
          <w:tcPr>
            <w:tcW w:type="dxa" w:w="1296"/>
          </w:tcPr>
          <w:p>
            <w:r>
              <w:t>Dataset</w:t>
            </w:r>
          </w:p>
        </w:tc>
        <w:tc>
          <w:tcPr>
            <w:tcW w:type="dxa" w:w="8064"/>
          </w:tcPr>
          <w:p>
            <w:r>
              <w:t>Sample size per analysis (cases and controls, or effective sample size), separately by ancestry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S2</w:t>
            </w:r>
          </w:p>
        </w:tc>
        <w:tc>
          <w:tcPr>
            <w:tcW w:type="dxa" w:w="1296"/>
          </w:tcPr>
          <w:p>
            <w:r>
              <w:t>Dataset</w:t>
            </w:r>
          </w:p>
        </w:tc>
        <w:tc>
          <w:tcPr>
            <w:tcW w:type="dxa" w:w="8064"/>
          </w:tcPr>
          <w:p>
            <w:r>
              <w:t>Ancestry composition; whether the analysis was restricted to one ancestry, or the meta-analytic method used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S3</w:t>
            </w:r>
          </w:p>
        </w:tc>
        <w:tc>
          <w:tcPr>
            <w:tcW w:type="dxa" w:w="1296"/>
          </w:tcPr>
          <w:p>
            <w:r>
              <w:t>Dataset</w:t>
            </w:r>
          </w:p>
        </w:tc>
        <w:tc>
          <w:tcPr>
            <w:tcW w:type="dxa" w:w="8064"/>
          </w:tcPr>
          <w:p>
            <w:r>
              <w:t>Time window of outcome assessment, and whether it was fixed or variable across participants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S4</w:t>
            </w:r>
          </w:p>
        </w:tc>
        <w:tc>
          <w:tcPr>
            <w:tcW w:type="dxa" w:w="1296"/>
          </w:tcPr>
          <w:p>
            <w:r>
              <w:t>Dataset</w:t>
            </w:r>
          </w:p>
        </w:tc>
        <w:tc>
          <w:tcPr>
            <w:tcW w:type="dxa" w:w="8064"/>
          </w:tcPr>
          <w:p>
            <w:r>
              <w:t>Availability of severity data (NIHSS or equivalent) and whether they were used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S5</w:t>
            </w:r>
          </w:p>
        </w:tc>
        <w:tc>
          <w:tcPr>
            <w:tcW w:type="dxa" w:w="1296"/>
          </w:tcPr>
          <w:p>
            <w:r>
              <w:t>Dataset</w:t>
            </w:r>
          </w:p>
        </w:tc>
        <w:tc>
          <w:tcPr>
            <w:tcW w:type="dxa" w:w="8064"/>
          </w:tcPr>
          <w:p>
            <w:r>
              <w:t>For a proxy phenotype, its correlation with the construct of interest, or a statement that it is unknown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A1</w:t>
            </w:r>
          </w:p>
        </w:tc>
        <w:tc>
          <w:tcPr>
            <w:tcW w:type="dxa" w:w="1296"/>
          </w:tcPr>
          <w:p>
            <w:r>
              <w:t>Analysis</w:t>
            </w:r>
          </w:p>
        </w:tc>
        <w:tc>
          <w:tcPr>
            <w:tcW w:type="dxa" w:w="8064"/>
          </w:tcPr>
          <w:p>
            <w:r>
              <w:t>Genome-wide significance threshold and any adjustment beyond 5 × 10⁻⁸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A2</w:t>
            </w:r>
          </w:p>
        </w:tc>
        <w:tc>
          <w:tcPr>
            <w:tcW w:type="dxa" w:w="1296"/>
          </w:tcPr>
          <w:p>
            <w:r>
              <w:t>Analysis</w:t>
            </w:r>
          </w:p>
        </w:tc>
        <w:tc>
          <w:tcPr>
            <w:tcW w:type="dxa" w:w="8064"/>
          </w:tcPr>
          <w:p>
            <w:r>
              <w:t>Replication status of each genome-wide significant locus, with the replication sample size and ancestry; unreplicated loci stated as such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A3</w:t>
            </w:r>
          </w:p>
        </w:tc>
        <w:tc>
          <w:tcPr>
            <w:tcW w:type="dxa" w:w="1296"/>
          </w:tcPr>
          <w:p>
            <w:r>
              <w:t>Analysis</w:t>
            </w:r>
          </w:p>
        </w:tc>
        <w:tc>
          <w:tcPr>
            <w:tcW w:type="dxa" w:w="8064"/>
          </w:tcPr>
          <w:p>
            <w:r>
              <w:t>Effect size with confidence interval, or variance explained, for each reported locus - not only the p-value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A4</w:t>
            </w:r>
          </w:p>
        </w:tc>
        <w:tc>
          <w:tcPr>
            <w:tcW w:type="dxa" w:w="1296"/>
          </w:tcPr>
          <w:p>
            <w:r>
              <w:t>Analysis</w:t>
            </w:r>
          </w:p>
        </w:tc>
        <w:tc>
          <w:tcPr>
            <w:tcW w:type="dxa" w:w="8064"/>
          </w:tcPr>
          <w:p>
            <w:r>
              <w:t>For MR, TWAS and colocalization: the assumptions, the sensitivity analyses performed, and the conditions under which the results would not be interpretable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A5</w:t>
            </w:r>
          </w:p>
        </w:tc>
        <w:tc>
          <w:tcPr>
            <w:tcW w:type="dxa" w:w="1296"/>
          </w:tcPr>
          <w:p>
            <w:r>
              <w:t>Analysis</w:t>
            </w:r>
          </w:p>
        </w:tc>
        <w:tc>
          <w:tcPr>
            <w:tcW w:type="dxa" w:w="8064"/>
          </w:tcPr>
          <w:p>
            <w:r>
              <w:t>For a polygenic score: the ancestry of the discovery GWAS and of the target sample, and whether the score was validated in the target ancestry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720"/>
          </w:tcPr>
          <w:p>
            <w:r>
              <w:t>A6</w:t>
            </w:r>
          </w:p>
        </w:tc>
        <w:tc>
          <w:tcPr>
            <w:tcW w:type="dxa" w:w="1296"/>
          </w:tcPr>
          <w:p>
            <w:r>
              <w:t>Analysis</w:t>
            </w:r>
          </w:p>
        </w:tc>
        <w:tc>
          <w:tcPr>
            <w:tcW w:type="dxa" w:w="8064"/>
          </w:tcPr>
          <w:p>
            <w:r>
              <w:t>For a multi-omic claim: the number and percentage of genes or proteins measured in both layers, and the compartment (tissue), construct, sampling time and Roundtable phase of each (Section 7)</w:t>
            </w:r>
          </w:p>
        </w:tc>
        <w:tc>
          <w:tcPr>
            <w:tcW w:type="dxa" w:w="1728"/>
          </w:tcPr>
          <w:p/>
        </w:tc>
        <w:tc>
          <w:tcPr>
            <w:tcW w:type="dxa" w:w="2016"/>
          </w:tcPr>
          <w:p/>
        </w:tc>
      </w:tr>
    </w:tbl>
    <w:p>
      <w:r>
        <w:t>Abbreviations: GWAS, genome-wide association study; IPW, inverse probability weighting; MR, Mendelian randomization; TWAS, transcriptome-wide association study; NIHSS, National Institutes of Health Stroke Scale. σ₀, σ₁: standard deviations of the baseline and follow-up measurements; ρ: their correlation; ρ_T: true baseline-follow-up tracking of severity; λ: reliability of the baseline instrument; b₀: a variant's effect on baseline severity.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