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16 активностей моего дня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Утренняя зарядка (пилатес, йога)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Принятие душа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Уход за кожей, макияж, прическа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Приготовление завтрака, обеда, ужина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Прием пищи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Помыть посуду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Изучение английского языка в приложении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Прогулка в парке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Покупки продуктов в магазине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Изучение теории для работы над проектом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над проектом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Поиск работы в приложении, отклики и собеседования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Посещение мероприятий, лекций и семинаров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Общение в кампусе с пирами, по телефону с родственниками и друзьями +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Чтение книги в свободное время и перед сном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Караоке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Мои цели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«Повышение личной и профессиональной эффективности (Саморазвитие и карьера)».</w:t>
        <w:br w:type="textWrapping"/>
        <w:t xml:space="preserve">Эта цель фокусируется на действиях, направленных на рост, обучение и достижение результатов в работе и личной продуктивности.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 «Поддержание физического и ментального благополучия (Баланс и здоровье)».</w:t>
        <w:br w:type="textWrapping"/>
        <w:t xml:space="preserve">Эта цель охватывает действия, связанные с заботой о теле, снижением стресса, поддержанием энергии и социальными связями.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</w:rPr>
        <w:drawing>
          <wp:inline distB="114300" distT="114300" distL="114300" distR="114300">
            <wp:extent cx="6196013" cy="48535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4853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