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EDE01" w14:textId="77777777" w:rsidR="00FE5CF5" w:rsidRDefault="00F3169B">
      <w:pPr>
        <w:pStyle w:val="a8"/>
      </w:pPr>
      <w:r>
        <w:rPr>
          <w:rFonts w:ascii="Times New Roman" w:eastAsia="Times New Roman" w:hAnsi="Times New Roman" w:cs="Times New Roman"/>
        </w:rPr>
        <w:t>Finite-size, quantum-hardware accuracy, and package-shape gates for a sub-kelvin Na₂BaCo(PO₄)₂ magnetic-refrigerator stage</w:t>
      </w:r>
    </w:p>
    <w:p w14:paraId="26B7C826" w14:textId="77777777" w:rsidR="00FE5CF5" w:rsidRDefault="00F3169B">
      <w:pPr>
        <w:jc w:val="center"/>
      </w:pPr>
      <w:r>
        <w:rPr>
          <w:rFonts w:eastAsia="Times New Roman" w:cs="Times New Roman"/>
          <w:b/>
        </w:rPr>
        <w:t>Ugwiyeon Lee</w:t>
      </w:r>
      <w:r>
        <w:rPr>
          <w:rFonts w:eastAsia="Times New Roman" w:cs="Times New Roman"/>
          <w:sz w:val="19"/>
          <w:vertAlign w:val="superscript"/>
        </w:rPr>
        <w:t>1,*</w:t>
      </w:r>
      <w:r>
        <w:rPr>
          <w:rFonts w:eastAsia="Times New Roman" w:cs="Times New Roman"/>
        </w:rPr>
        <w:t xml:space="preserve"> (ORCID: 0009-0008-8976-5363), </w:t>
      </w:r>
      <w:r>
        <w:rPr>
          <w:rFonts w:eastAsia="Times New Roman" w:cs="Times New Roman"/>
          <w:b/>
        </w:rPr>
        <w:t>Seong-Yun Bae</w:t>
      </w:r>
      <w:r>
        <w:rPr>
          <w:rFonts w:eastAsia="Times New Roman" w:cs="Times New Roman"/>
          <w:sz w:val="19"/>
          <w:vertAlign w:val="superscript"/>
        </w:rPr>
        <w:t>1</w:t>
      </w:r>
      <w:r>
        <w:rPr>
          <w:rFonts w:eastAsia="Times New Roman" w:cs="Times New Roman"/>
        </w:rPr>
        <w:t xml:space="preserve"> (0009-0003-8731-428X), </w:t>
      </w:r>
      <w:r>
        <w:rPr>
          <w:rFonts w:eastAsia="Times New Roman" w:cs="Times New Roman"/>
          <w:b/>
        </w:rPr>
        <w:t>Hakrae Kim</w:t>
      </w:r>
      <w:r>
        <w:rPr>
          <w:rFonts w:eastAsia="Times New Roman" w:cs="Times New Roman"/>
          <w:sz w:val="19"/>
          <w:vertAlign w:val="superscript"/>
        </w:rPr>
        <w:t>1</w:t>
      </w:r>
      <w:r>
        <w:rPr>
          <w:rFonts w:eastAsia="Times New Roman" w:cs="Times New Roman"/>
        </w:rPr>
        <w:t xml:space="preserve"> (0009-0002-5048-3568), and </w:t>
      </w:r>
      <w:r>
        <w:rPr>
          <w:rFonts w:eastAsia="Times New Roman" w:cs="Times New Roman"/>
          <w:b/>
        </w:rPr>
        <w:t>Jungsu Lee</w:t>
      </w:r>
      <w:r>
        <w:rPr>
          <w:rFonts w:eastAsia="Times New Roman" w:cs="Times New Roman"/>
          <w:sz w:val="19"/>
          <w:vertAlign w:val="superscript"/>
        </w:rPr>
        <w:t>1</w:t>
      </w:r>
      <w:r>
        <w:rPr>
          <w:rFonts w:eastAsia="Times New Roman" w:cs="Times New Roman"/>
        </w:rPr>
        <w:t xml:space="preserve"> (0009-0006-9347-453X)</w:t>
      </w:r>
    </w:p>
    <w:p w14:paraId="73860FFA" w14:textId="77777777" w:rsidR="00FE5CF5" w:rsidRDefault="00F3169B">
      <w:pPr>
        <w:jc w:val="center"/>
      </w:pPr>
      <w:r>
        <w:rPr>
          <w:rFonts w:eastAsia="Times New Roman" w:cs="Times New Roman"/>
          <w:sz w:val="19"/>
          <w:vertAlign w:val="superscript"/>
        </w:rPr>
        <w:t>1</w:t>
      </w:r>
      <w:r>
        <w:rPr>
          <w:rFonts w:eastAsia="Times New Roman" w:cs="Times New Roman"/>
        </w:rPr>
        <w:t>Korea Gas Safety Corporation, Republic of Korea</w:t>
      </w:r>
    </w:p>
    <w:p w14:paraId="791FD02B" w14:textId="77777777" w:rsidR="00FE5CF5" w:rsidRDefault="00F3169B">
      <w:pPr>
        <w:jc w:val="both"/>
      </w:pPr>
      <w:r>
        <w:rPr>
          <w:rFonts w:eastAsia="Times New Roman" w:cs="Times New Roman"/>
          <w:sz w:val="19"/>
          <w:vertAlign w:val="superscript"/>
        </w:rPr>
        <w:t>*</w:t>
      </w:r>
      <w:r>
        <w:rPr>
          <w:rFonts w:eastAsia="Times New Roman" w:cs="Times New Roman"/>
        </w:rPr>
        <w:t>Corresponding author: lyullee@kgs.or.kr</w:t>
      </w:r>
    </w:p>
    <w:p w14:paraId="5482069E" w14:textId="77777777" w:rsidR="00FE5CF5" w:rsidRDefault="00F3169B">
      <w:pPr>
        <w:spacing w:after="200"/>
        <w:jc w:val="center"/>
      </w:pPr>
      <w:r>
        <w:rPr>
          <w:rFonts w:eastAsia="Times New Roman" w:cs="Times New Roman"/>
        </w:rPr>
        <w:t>Cryogenics-targeted working draft. Numerical values and scope statements are frozen to the reproducibili</w:t>
      </w:r>
      <w:r>
        <w:rPr>
          <w:rFonts w:eastAsia="Times New Roman" w:cs="Times New Roman"/>
        </w:rPr>
        <w:t>ty manifest dated 12 October 2026.</w:t>
      </w:r>
    </w:p>
    <w:p w14:paraId="1B44C520" w14:textId="77777777" w:rsidR="00FE5CF5" w:rsidRDefault="00F3169B">
      <w:pPr>
        <w:pStyle w:val="1"/>
      </w:pPr>
      <w:r>
        <w:rPr>
          <w:rFonts w:ascii="Times New Roman" w:eastAsia="Times New Roman" w:hAnsi="Times New Roman" w:cs="Times New Roman"/>
        </w:rPr>
        <w:t>Abstract</w:t>
      </w:r>
    </w:p>
    <w:p w14:paraId="384B1B6A" w14:textId="77777777" w:rsidR="00FE5CF5" w:rsidRDefault="00F3169B">
      <w:pPr>
        <w:jc w:val="both"/>
      </w:pPr>
      <w:r>
        <w:rPr>
          <w:rFonts w:eastAsia="Times New Roman" w:cs="Times New Roman"/>
        </w:rPr>
        <w:t xml:space="preserve">Selecting a sub-kelvin magnetic refrigerant requires testing whether a microscopic heat profile transfers across numerical size, whether a quantum processor resolves the required correction, and whether internal </w:t>
      </w:r>
      <w:r>
        <w:rPr>
          <w:rFonts w:eastAsia="Times New Roman" w:cs="Times New Roman"/>
        </w:rPr>
        <w:t>field maps to package field. Using public data for Na₂BaCo(PO₄)₂, we audit these gates. An adaptive search retains 69 of 823 exact interlayer models with a 0.0334–0.2021 T critical-field-shift range. A preregistered four-model cover on a three-sublattice-c</w:t>
      </w:r>
      <w:r>
        <w:rPr>
          <w:rFonts w:eastAsia="Times New Roman" w:cs="Times New Roman"/>
        </w:rPr>
        <w:t>ompatible 18-spin cluster gives optimum shifts of 0.293–0.425 T and peak-heat ratios of 0.537–0.852; all four models cross the declared major size-transfer threshold, while N=18 is not treated as bulk. An adaptive six-qubit hardware benchmark then reconstr</w:t>
      </w:r>
      <w:r>
        <w:rPr>
          <w:rFonts w:eastAsia="Times New Roman" w:cs="Times New Roman"/>
        </w:rPr>
        <w:t>ucts a complete three-level spectral-flow entropy correction from nine circuits on IBM Kingston. Twirled readout mitigation and zero-noise extrapolation both recover the exact negative sign and exclude zero, but the best hardware value, −0.02682 kB per spi</w:t>
      </w:r>
      <w:r>
        <w:rPr>
          <w:rFonts w:eastAsia="Times New Roman" w:cs="Times New Roman"/>
        </w:rPr>
        <w:t>n, remains biased relative to the exact −0.04161; hardware magnitude therefore fails the quantitative gate. Propagating the correlated N=18 stresses gives 34.55% unmeasured worst regret at 1.4890 T. Exhaustive search over 5,671 two-point panels selects 1.2</w:t>
      </w:r>
      <w:r>
        <w:rPr>
          <w:rFonts w:eastAsia="Times New Roman" w:cs="Times New Roman"/>
        </w:rPr>
        <w:t>92 and 1.716 T, leaving 4.246% regret at a ±2.5% heat bound. A demagnetization envelope gives a 0.136 T plate correction and requires c/a at least 2.72 for a 0.02 T bound. The defensible outputs are a falsifiable heat-measurement plan, a measured quantum-h</w:t>
      </w:r>
      <w:r>
        <w:rPr>
          <w:rFonts w:eastAsia="Times New Roman" w:cs="Times New Roman"/>
        </w:rPr>
        <w:t>ardware accuracy gate, and a package-geometry specification.</w:t>
      </w:r>
    </w:p>
    <w:p w14:paraId="34679397" w14:textId="77777777" w:rsidR="00FE5CF5" w:rsidRDefault="00F3169B">
      <w:pPr>
        <w:pStyle w:val="1"/>
      </w:pPr>
      <w:r>
        <w:rPr>
          <w:rFonts w:ascii="Times New Roman" w:eastAsia="Times New Roman" w:hAnsi="Times New Roman" w:cs="Times New Roman"/>
        </w:rPr>
        <w:t>I. Introduction</w:t>
      </w:r>
    </w:p>
    <w:p w14:paraId="0495D8C8" w14:textId="77777777" w:rsidR="00FE5CF5" w:rsidRDefault="00F3169B">
      <w:pPr>
        <w:jc w:val="both"/>
      </w:pPr>
      <w:r>
        <w:rPr>
          <w:rFonts w:eastAsia="Times New Roman" w:cs="Times New Roman"/>
        </w:rPr>
        <w:t>Magnetic refrigeration below 1 K depends on entropy stored in a magnetic material. In an adiabatic-demagnetization refrigerator (ADR), useful material properties must ultimately b</w:t>
      </w:r>
      <w:r>
        <w:rPr>
          <w:rFonts w:eastAsia="Times New Roman" w:cs="Times New Roman"/>
        </w:rPr>
        <w:t>e converted into stage field, refrigerant mass or volume, hold time, and recycle requirements [7–10]. Frustration and quantum fluctuations can retain unusually large entropy at low temperature, making frustrated magnets promising refrigerants. Na₂BaCo(PO₄)</w:t>
      </w:r>
      <w:r>
        <w:rPr>
          <w:rFonts w:eastAsia="Times New Roman" w:cs="Times New Roman"/>
        </w:rPr>
        <w:t>₂ (NBCP) is a strong example. Public measurements report a giant magnetocaloric response and cooling below 100 mK, together with an easy-axis triangular-lattice spin-1/2 description [1–4]. Recent spectroscopy further resolves field-dependent Kramers-double</w:t>
      </w:r>
      <w:r>
        <w:rPr>
          <w:rFonts w:eastAsia="Times New Roman" w:cs="Times New Roman"/>
        </w:rPr>
        <w:t>t excitations and a transverse-field evolution from a continuum to sharp magnons [11,12].</w:t>
      </w:r>
    </w:p>
    <w:p w14:paraId="03AA2ABB" w14:textId="77777777" w:rsidR="00FE5CF5" w:rsidRDefault="00F3169B">
      <w:pPr>
        <w:jc w:val="both"/>
      </w:pPr>
      <w:r>
        <w:rPr>
          <w:rFonts w:eastAsia="Times New Roman" w:cs="Times New Roman"/>
        </w:rPr>
        <w:t>The public experiments already establish a material-screening premise. In same-volume time traces, NBCP remains below 1 K for an observed span of 96.0 min, compared w</w:t>
      </w:r>
      <w:r>
        <w:rPr>
          <w:rFonts w:eastAsia="Times New Roman" w:cs="Times New Roman"/>
        </w:rPr>
        <w:t>ith 32.2 min for ferric ammonium alum and 24.7 min for chromium potassium alum. The source article further reports a volumetric heat absorption of approximately 19 mJ cm⁻³ and a cycle efficiency of approximately 23%, compared with 3.0–3.1 mJ cm⁻³ and 9–11%</w:t>
      </w:r>
      <w:r>
        <w:rPr>
          <w:rFonts w:eastAsia="Times New Roman" w:cs="Times New Roman"/>
        </w:rPr>
        <w:t xml:space="preserve"> for the two hydrate salts [1,17]. Relative to the better hydrate comparator for each metric, these values correspond to factors of 6.13 in volumetric heat absorption, 2.09 in source-defined efficiency, and 2.98 in observed time below 1 K. These results sh</w:t>
      </w:r>
      <w:r>
        <w:rPr>
          <w:rFonts w:eastAsia="Times New Roman" w:cs="Times New Roman"/>
        </w:rPr>
        <w:t>ow that NBCP merits refrigerator development, but they do not determine a robust near-critical terminal field, the useful field tolerance, or the inventory required for a specified stage load.</w:t>
      </w:r>
    </w:p>
    <w:p w14:paraId="3235F2A5" w14:textId="77777777" w:rsidR="00FE5CF5" w:rsidRDefault="00F3169B">
      <w:pPr>
        <w:jc w:val="both"/>
      </w:pPr>
      <w:r>
        <w:rPr>
          <w:rFonts w:eastAsia="Times New Roman" w:cs="Times New Roman"/>
        </w:rPr>
        <w:t>The material question and the engineering question are differen</w:t>
      </w:r>
      <w:r>
        <w:rPr>
          <w:rFonts w:eastAsia="Times New Roman" w:cs="Times New Roman"/>
        </w:rPr>
        <w:t xml:space="preserve">t. A microscopic study asks which spin Hamiltonian produces the observed phases. A refrigerator designer must choose a terminal field, determine how accurately that field must be reached, size the refrigerant, and allocate capacity to steady and transient </w:t>
      </w:r>
      <w:r>
        <w:rPr>
          <w:rFonts w:eastAsia="Times New Roman" w:cs="Times New Roman"/>
        </w:rPr>
        <w:t>losses. A model can reproduce broad thermodynamics while moving a narrow low-temperature optimum enough to change those decisions. This risk is greatest near a critical field, where a small error in an interaction energy can produce a substantial loss at a</w:t>
      </w:r>
      <w:r>
        <w:rPr>
          <w:rFonts w:eastAsia="Times New Roman" w:cs="Times New Roman"/>
        </w:rPr>
        <w:t xml:space="preserve"> fixed operating point.</w:t>
      </w:r>
    </w:p>
    <w:p w14:paraId="5AAA6BF2" w14:textId="77777777" w:rsidR="00FE5CF5" w:rsidRDefault="00F3169B">
      <w:pPr>
        <w:jc w:val="both"/>
      </w:pPr>
      <w:r>
        <w:rPr>
          <w:rFonts w:eastAsia="Times New Roman" w:cs="Times New Roman"/>
        </w:rPr>
        <w:lastRenderedPageBreak/>
        <w:t>The commonly used nearest-neighbor XXZ Hamiltonian captures much of the NBCP phenomenology [1–4]. Recent neutron diffraction, however, found a field-tuned incommensurate fan phase immediately below saturation and showed that dipolar</w:t>
      </w:r>
      <w:r>
        <w:rPr>
          <w:rFonts w:eastAsia="Times New Roman" w:cs="Times New Roman"/>
        </w:rPr>
        <w:t xml:space="preserve"> coupling, bond-dependent exchange, and frustrated interlayer paths are required to describe the ordered-state sequence [4]. These terms are small relative to the main exchange, but their consequences for a refrigerator terminal field have not been separat</w:t>
      </w:r>
      <w:r>
        <w:rPr>
          <w:rFonts w:eastAsia="Times New Roman" w:cs="Times New Roman"/>
        </w:rPr>
        <w:t>ed from their role in explaining magnetic order.</w:t>
      </w:r>
    </w:p>
    <w:p w14:paraId="56FC121B" w14:textId="77777777" w:rsidR="00FE5CF5" w:rsidRDefault="00F3169B">
      <w:pPr>
        <w:jc w:val="both"/>
      </w:pPr>
      <w:r>
        <w:rPr>
          <w:rFonts w:eastAsia="Times New Roman" w:cs="Times New Roman"/>
        </w:rPr>
        <w:t xml:space="preserve">We therefore ask four engineering questions. First, can a realistic weak interaction shift the optimal terminal field by at least 0.05 T or cause at least 5% loss when a simpler-model field is used? Second, </w:t>
      </w:r>
      <w:r>
        <w:rPr>
          <w:rFonts w:eastAsia="Times New Roman" w:cs="Times New Roman"/>
        </w:rPr>
        <w:t>does that conclusion survive finite-size diagnostics, long-range dipolar boundary conventions, and non-unique interlayer parameters constrained by public diffraction? Third, can a finite-temperature correction selected by those decision gates be reconstruc</w:t>
      </w:r>
      <w:r>
        <w:rPr>
          <w:rFonts w:eastAsia="Times New Roman" w:cs="Times New Roman"/>
        </w:rPr>
        <w:t>ted on present quantum hardware with the correct sign and usable magnitude? Fourth, what robust field, material inventory, loss allowance, minimum heat-measurement panel, and measurement precision follow from the public evidence between 90 and 300 mK?</w:t>
      </w:r>
    </w:p>
    <w:p w14:paraId="1F4F84EE" w14:textId="77777777" w:rsidR="00FE5CF5" w:rsidRDefault="00F3169B">
      <w:pPr>
        <w:jc w:val="both"/>
      </w:pPr>
      <w:r>
        <w:rPr>
          <w:rFonts w:eastAsia="Times New Roman" w:cs="Times New Roman"/>
        </w:rPr>
        <w:t xml:space="preserve">The </w:t>
      </w:r>
      <w:r>
        <w:rPr>
          <w:rFonts w:eastAsia="Times New Roman" w:cs="Times New Roman"/>
        </w:rPr>
        <w:t>calculation deliberately separates what is measured, what is modelled, what is executed on quantum hardware, and what remains a device input. Public thermodynamic data supply the absolute magnetic entropy. Bulk stability calculations supply interaction-ind</w:t>
      </w:r>
      <w:r>
        <w:rPr>
          <w:rFonts w:eastAsia="Times New Roman" w:cs="Times New Roman"/>
        </w:rPr>
        <w:t>uced field shifts. Local-grid, expanded Sobol, and adaptive boundary/extremum searches test whether public propagation vectors identify a unique engineering correction. A lower-field fan-curve holdout then tests those retained models against field dependen</w:t>
      </w:r>
      <w:r>
        <w:rPr>
          <w:rFonts w:eastAsia="Times New Roman" w:cs="Times New Roman"/>
        </w:rPr>
        <w:t xml:space="preserve">ce not used for retention. A decision-targeted spectral-flow benchmark tests a complete low-energy correction on six physical qubits without assigning that small cluster a bulk role. Finally, steady-load and transient-loss envelopes translate the magnetic </w:t>
      </w:r>
      <w:r>
        <w:rPr>
          <w:rFonts w:eastAsia="Times New Roman" w:cs="Times New Roman"/>
        </w:rPr>
        <w:t>budget into stage mass, duty, and measurements needed for cycle closure.</w:t>
      </w:r>
    </w:p>
    <w:p w14:paraId="48AB603F" w14:textId="77777777" w:rsidR="00FE5CF5" w:rsidRDefault="00F3169B">
      <w:pPr>
        <w:jc w:val="both"/>
      </w:pPr>
      <w:r>
        <w:rPr>
          <w:rFonts w:eastAsia="Times New Roman" w:cs="Times New Roman"/>
        </w:rPr>
        <w:t>The central result is that neither local interaction magnitude nor one finite cluster supplies a device set point. A nearest-neighbor dipolar truncation creates a large critical-field</w:t>
      </w:r>
      <w:r>
        <w:rPr>
          <w:rFonts w:eastAsia="Times New Roman" w:cs="Times New Roman"/>
        </w:rPr>
        <w:t xml:space="preserve"> shift, while the full long-range sum can cancel it. Public diffraction narrows the interlayer Hamiltonian but does not determine its finite-temperature cooling consequence. Direct N=12 thermodynamics first rejects rigid critical-field transport. We then r</w:t>
      </w:r>
      <w:r>
        <w:rPr>
          <w:rFonts w:eastAsia="Times New Roman" w:cs="Times New Roman"/>
        </w:rPr>
        <w:t>eplace the previous one-extreme-model size check with a preregistered four-model N=18 cover. Its optimum shifts span 0.293–0.425 T and peak-heat ratios span 0.537–0.852; 4 of four models cross the declared major-transfer threshold despite numerical converg</w:t>
      </w:r>
      <w:r>
        <w:rPr>
          <w:rFonts w:eastAsia="Times New Roman" w:cs="Times New Roman"/>
        </w:rPr>
        <w:t>ence inside N=18. This rejects universal quantitative transfer and reclassifies N=12-derived field and inventory values as pre-convergence examples. On IBM Kingston, paired nine-circuit jobs recover the negative sign of a six-spin spectral-flow entropy cor</w:t>
      </w:r>
      <w:r>
        <w:rPr>
          <w:rFonts w:eastAsia="Times New Roman" w:cs="Times New Roman"/>
        </w:rPr>
        <w:t>rection, while zero-noise extrapolation reduces absolute bias by 25.8% but does not pass the quantitative-magnitude gate. An independent demagnetization envelope converts applied/internal-field ambiguity into a package aspect-ratio requirement.</w:t>
      </w:r>
    </w:p>
    <w:p w14:paraId="71983D28" w14:textId="77777777" w:rsidR="00FE5CF5" w:rsidRDefault="00F3169B">
      <w:pPr>
        <w:pStyle w:val="1"/>
      </w:pPr>
      <w:r>
        <w:rPr>
          <w:rFonts w:ascii="Times New Roman" w:eastAsia="Times New Roman" w:hAnsi="Times New Roman" w:cs="Times New Roman"/>
        </w:rPr>
        <w:t>II. Decisio</w:t>
      </w:r>
      <w:r>
        <w:rPr>
          <w:rFonts w:ascii="Times New Roman" w:eastAsia="Times New Roman" w:hAnsi="Times New Roman" w:cs="Times New Roman"/>
        </w:rPr>
        <w:t>n problem and model hierarchy</w:t>
      </w:r>
    </w:p>
    <w:p w14:paraId="786F136D" w14:textId="77777777" w:rsidR="00FE5CF5" w:rsidRDefault="00F3169B">
      <w:pPr>
        <w:pStyle w:val="21"/>
      </w:pPr>
      <w:r>
        <w:rPr>
          <w:rFonts w:ascii="Times New Roman" w:eastAsia="Times New Roman" w:hAnsi="Times New Roman" w:cs="Times New Roman"/>
        </w:rPr>
        <w:t>A. Engineering quantities</w:t>
      </w:r>
    </w:p>
    <w:p w14:paraId="58492C04" w14:textId="77777777" w:rsidR="00FE5CF5" w:rsidRDefault="00F3169B">
      <w:pPr>
        <w:jc w:val="both"/>
      </w:pPr>
      <w:r>
        <w:rPr>
          <w:rFonts w:eastAsia="Times New Roman" w:cs="Times New Roman"/>
        </w:rPr>
        <w:t>We use the public 2 K, 4 T state as the hot reference. Its measured magnetic entropy density is</w:t>
      </w:r>
    </w:p>
    <w:p w14:paraId="0A2A7331" w14:textId="6C583E86" w:rsidR="00FE5CF5" w:rsidRDefault="00F3169B">
      <w:pPr>
        <w:keepLines/>
        <w:spacing w:before="60" w:after="100"/>
        <w:jc w:val="center"/>
      </w:pPr>
      <m:oMathPara>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rm hot</m:t>
              </m:r>
            </m:sub>
          </m:sSub>
          <m:r>
            <m:rPr>
              <m:sty m:val="p"/>
            </m:rPr>
            <w:rPr>
              <w:rFonts w:ascii="Cambria Math" w:hAnsi="Cambria Math"/>
            </w:rPr>
            <m:t xml:space="preserve">=6.6877263 </m:t>
          </m:r>
          <m:d>
            <m:dPr>
              <m:ctrlPr>
                <w:rPr>
                  <w:rFonts w:ascii="Cambria Math" w:hAnsi="Cambria Math"/>
                </w:rPr>
              </m:ctrlPr>
            </m:dPr>
            <m:e>
              <m:r>
                <m:rPr>
                  <m:sty m:val="p"/>
                </m:rPr>
                <w:rPr>
                  <w:rFonts w:ascii="Cambria Math" w:hAnsi="Cambria Math"/>
                </w:rPr>
                <m:t xml:space="preserve">rm mJ </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-3</m:t>
                  </m:r>
                </m:sup>
              </m:sSup>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e>
          </m:d>
          <m:r>
            <m:rPr>
              <m:sty m:val="p"/>
            </m:rPr>
            <w:rPr>
              <w:rFonts w:ascii="Cambria Math" w:hAnsi="Cambria Math"/>
            </w:rPr>
            <m:t>.</m:t>
          </m:r>
        </m:oMath>
      </m:oMathPara>
    </w:p>
    <w:p w14:paraId="1991DB32" w14:textId="77777777" w:rsidR="00FE5CF5" w:rsidRDefault="00F3169B">
      <w:pPr>
        <w:jc w:val="both"/>
      </w:pPr>
      <w:r>
        <w:rPr>
          <w:rFonts w:eastAsia="Times New Roman" w:cs="Times New Roman"/>
        </w:rPr>
        <w:t xml:space="preserve">For a cold endpoint at temperature </w:t>
      </w:r>
      <m:oMath>
        <m:r>
          <m:rPr>
            <m:sty m:val="p"/>
          </m:rPr>
          <w:rPr>
            <w:rFonts w:ascii="Cambria Math" w:hAnsi="Cambria Math"/>
          </w:rPr>
          <m:t>T</m:t>
        </m:r>
      </m:oMath>
      <w:r>
        <w:rPr>
          <w:rFonts w:eastAsia="Times New Roman" w:cs="Times New Roman"/>
        </w:rPr>
        <w:t xml:space="preserve"> and field </w:t>
      </w:r>
      <m:oMath>
        <m:r>
          <m:rPr>
            <m:sty m:val="p"/>
          </m:rPr>
          <w:rPr>
            <w:rFonts w:ascii="Cambria Math" w:hAnsi="Cambria Math"/>
          </w:rPr>
          <m:t>B</m:t>
        </m:r>
      </m:oMath>
      <w:r>
        <w:rPr>
          <w:rFonts w:eastAsia="Times New Roman" w:cs="Times New Roman"/>
        </w:rPr>
        <w:t>, the condi</w:t>
      </w:r>
      <w:r>
        <w:rPr>
          <w:rFonts w:eastAsia="Times New Roman" w:cs="Times New Roman"/>
        </w:rPr>
        <w:t>tional magnetic entropy budget is</w:t>
      </w:r>
    </w:p>
    <w:p w14:paraId="0B92D014" w14:textId="39836D29" w:rsidR="00FE5CF5" w:rsidRDefault="00F3169B">
      <w:pPr>
        <w:keepLines/>
        <w:spacing w:before="60" w:after="100"/>
        <w:jc w:val="center"/>
      </w:pPr>
      <m:oMathPara>
        <m:oMath>
          <m:r>
            <m:rPr>
              <m:sty m:val="p"/>
            </m:rPr>
            <w:rPr>
              <w:rFonts w:ascii="Cambria Math" w:hAnsi="Cambria Math"/>
            </w:rPr>
            <m:t>Q</m:t>
          </m:r>
          <m:d>
            <m:dPr>
              <m:ctrlPr>
                <w:rPr>
                  <w:rFonts w:ascii="Cambria Math" w:hAnsi="Cambria Math"/>
                </w:rPr>
              </m:ctrlPr>
            </m:dPr>
            <m:e>
              <m:r>
                <m:rPr>
                  <m:sty m:val="p"/>
                </m:rPr>
                <w:rPr>
                  <w:rFonts w:ascii="Cambria Math" w:hAnsi="Cambria Math"/>
                </w:rPr>
                <m:t>B,T</m:t>
              </m:r>
            </m:e>
          </m:d>
          <m:r>
            <m:rPr>
              <m:sty m:val="p"/>
            </m:rPr>
            <w:rPr>
              <w:rFonts w:ascii="Cambria Math" w:hAnsi="Cambria Math"/>
            </w:rPr>
            <m:t xml:space="preserve">=T </m:t>
          </m:r>
          <m:d>
            <m:dPr>
              <m:begChr m:val="["/>
              <m:endChr m:val="]"/>
              <m:ctrlPr>
                <w:rPr>
                  <w:rFonts w:ascii="Cambria Math" w:hAnsi="Cambria Math"/>
                </w:rPr>
              </m:ctrlPr>
            </m:dPr>
            <m:e>
              <m:r>
                <m:rPr>
                  <m:sty m:val="p"/>
                </m:rPr>
                <w:rPr>
                  <w:rFonts w:ascii="Cambria Math" w:hAnsi="Cambria Math"/>
                </w:rPr>
                <m:t>S</m:t>
              </m:r>
              <m:d>
                <m:dPr>
                  <m:ctrlPr>
                    <w:rPr>
                      <w:rFonts w:ascii="Cambria Math" w:hAnsi="Cambria Math"/>
                    </w:rPr>
                  </m:ctrlPr>
                </m:dPr>
                <m:e>
                  <m:r>
                    <m:rPr>
                      <m:sty m:val="p"/>
                    </m:rPr>
                    <w:rPr>
                      <w:rFonts w:ascii="Cambria Math" w:hAnsi="Cambria Math"/>
                    </w:rPr>
                    <m:t>B,T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rm hot</m:t>
                  </m:r>
                </m:sub>
              </m:sSub>
            </m:e>
          </m:d>
          <m:r>
            <m:rPr>
              <m:sty m:val="p"/>
            </m:rPr>
            <w:rPr>
              <w:rFonts w:ascii="Cambria Math" w:hAnsi="Cambria Math"/>
            </w:rPr>
            <m:t>.</m:t>
          </m:r>
        </m:oMath>
      </m:oMathPara>
    </w:p>
    <w:p w14:paraId="1A454A9D" w14:textId="77777777" w:rsidR="00FE5CF5" w:rsidRDefault="00F3169B">
      <w:pPr>
        <w:jc w:val="both"/>
      </w:pPr>
      <w:r>
        <w:rPr>
          <w:rFonts w:eastAsia="Times New Roman" w:cs="Times New Roman"/>
        </w:rPr>
        <w:t>This is the reversible magnetic contribution available during a cold hold. It is not cooling power, coefficient of performance, or a complete cycle simulation. The accounting corresponds to th</w:t>
      </w:r>
      <w:r>
        <w:rPr>
          <w:rFonts w:eastAsia="Times New Roman" w:cs="Times New Roman"/>
        </w:rPr>
        <w:t>ree explicitly separated states. State A is the 2 K, 4 T magnetized reference with entropy (S_{\rm hot}). An ideal adiabatic demagnetization reaches state B at the target (T,B) without changing that entropy. During the isothermal hold, the spin system appr</w:t>
      </w:r>
      <w:r>
        <w:rPr>
          <w:rFonts w:eastAsia="Times New Roman" w:cs="Times New Roman"/>
        </w:rPr>
        <w:t>oaches state C with entropy (S(B,T)), giving the stated (T[S(B,T)-S_{\rm hot}]) budget. This construction sizes only the reversible magnetic part of the B-to-C hold and does not prove that a real device reaches B or quantify the heat rejected during regene</w:t>
      </w:r>
      <w:r>
        <w:rPr>
          <w:rFonts w:eastAsia="Times New Roman" w:cs="Times New Roman"/>
        </w:rPr>
        <w:t>ration. The optimal measured or calculated field is</w:t>
      </w:r>
    </w:p>
    <w:p w14:paraId="6F4C171D" w14:textId="31BF1EAA" w:rsidR="00FE5CF5" w:rsidRDefault="00F3169B">
      <w:pPr>
        <w:keepLines/>
        <w:spacing w:before="60" w:after="100"/>
        <w:jc w:val="center"/>
      </w:pPr>
      <m:oMathPara>
        <m:oMath>
          <m:sSup>
            <m:sSupPr>
              <m:ctrlPr>
                <w:rPr>
                  <w:rFonts w:ascii="Cambria Math" w:hAnsi="Cambria Math"/>
                </w:rPr>
              </m:ctrlPr>
            </m:sSupPr>
            <m:e>
              <m:r>
                <m:rPr>
                  <m:sty m:val="p"/>
                </m:rPr>
                <w:rPr>
                  <w:rFonts w:ascii="Cambria Math" w:hAnsi="Cambria Math"/>
                </w:rPr>
                <m:t>B</m:t>
              </m:r>
            </m:e>
            <m:sup>
              <m:d>
                <m:dPr>
                  <m:ctrlPr>
                    <w:rPr>
                      <w:rFonts w:ascii="Cambria Math" w:hAnsi="Cambria Math"/>
                    </w:rPr>
                  </m:ctrlPr>
                </m:dPr>
                <m:e>
                  <m:r>
                    <m:rPr>
                      <m:sty m:val="p"/>
                    </m:rPr>
                    <w:rPr>
                      <w:rFonts w:ascii="Cambria Math" w:hAnsi="Cambria Math"/>
                    </w:rPr>
                    <m:t>*</m:t>
                  </m:r>
                </m:e>
              </m:d>
              <m:d>
                <m:dPr>
                  <m:ctrlPr>
                    <w:rPr>
                      <w:rFonts w:ascii="Cambria Math" w:hAnsi="Cambria Math"/>
                    </w:rPr>
                  </m:ctrlPr>
                </m:dPr>
                <m:e>
                  <m:r>
                    <m:rPr>
                      <m:sty m:val="p"/>
                    </m:rPr>
                    <w:rPr>
                      <w:rFonts w:ascii="Cambria Math" w:hAnsi="Cambria Math"/>
                    </w:rPr>
                    <m:t>T</m:t>
                  </m:r>
                </m:e>
              </m:d>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argmax</m:t>
              </m:r>
            </m:e>
            <m:sub>
              <m:r>
                <m:rPr>
                  <m:sty m:val="p"/>
                </m:rPr>
                <w:rPr>
                  <w:rFonts w:ascii="Cambria Math" w:hAnsi="Cambria Math"/>
                </w:rPr>
                <m:t>B</m:t>
              </m:r>
            </m:sub>
          </m:sSub>
          <m:r>
            <m:rPr>
              <m:sty m:val="p"/>
            </m:rPr>
            <w:rPr>
              <w:rFonts w:ascii="Cambria Math" w:hAnsi="Cambria Math"/>
            </w:rPr>
            <m:t>Q</m:t>
          </m:r>
          <m:d>
            <m:dPr>
              <m:ctrlPr>
                <w:rPr>
                  <w:rFonts w:ascii="Cambria Math" w:hAnsi="Cambria Math"/>
                </w:rPr>
              </m:ctrlPr>
            </m:dPr>
            <m:e>
              <m:r>
                <m:rPr>
                  <m:sty m:val="p"/>
                </m:rPr>
                <w:rPr>
                  <w:rFonts w:ascii="Cambria Math" w:hAnsi="Cambria Math"/>
                </w:rPr>
                <m:t>B,T</m:t>
              </m:r>
            </m:e>
          </m:d>
          <m:r>
            <m:rPr>
              <m:sty m:val="p"/>
            </m:rPr>
            <w:rPr>
              <w:rFonts w:ascii="Cambria Math" w:hAnsi="Cambria Math"/>
            </w:rPr>
            <m:t>,</m:t>
          </m:r>
        </m:oMath>
      </m:oMathPara>
    </w:p>
    <w:p w14:paraId="551FA892" w14:textId="77777777" w:rsidR="00FE5CF5" w:rsidRDefault="00F3169B">
      <w:pPr>
        <w:jc w:val="both"/>
      </w:pPr>
      <w:r>
        <w:rPr>
          <w:rFonts w:eastAsia="Times New Roman" w:cs="Times New Roman"/>
        </w:rPr>
        <w:t>and the 95% operating set is</w:t>
      </w:r>
    </w:p>
    <w:p w14:paraId="3A92DEC1" w14:textId="68EC7EF9" w:rsidR="00FE5CF5" w:rsidRDefault="00F3169B">
      <w:pPr>
        <w:keepLines/>
        <w:spacing w:before="60" w:after="100"/>
        <w:jc w:val="center"/>
      </w:pPr>
      <m:oMathPara>
        <m:oMath>
          <m:sSub>
            <m:sSubPr>
              <m:ctrlPr>
                <w:rPr>
                  <w:rFonts w:ascii="Cambria Math" w:hAnsi="Cambria Math"/>
                </w:rPr>
              </m:ctrlPr>
            </m:sSubPr>
            <m:e>
              <m:r>
                <m:rPr>
                  <m:sty m:val="p"/>
                </m:rPr>
                <w:rPr>
                  <w:rFonts w:ascii="Cambria Math" w:hAnsi="Cambria Math"/>
                </w:rPr>
                <m:t>W</m:t>
              </m:r>
            </m:e>
            <m:sub>
              <m:d>
                <m:dPr>
                  <m:ctrlPr>
                    <w:rPr>
                      <w:rFonts w:ascii="Cambria Math" w:hAnsi="Cambria Math"/>
                    </w:rPr>
                  </m:ctrlPr>
                </m:dPr>
                <m:e>
                  <m:r>
                    <m:rPr>
                      <m:sty m:val="p"/>
                    </m:rPr>
                    <w:rPr>
                      <w:rFonts w:ascii="Cambria Math" w:hAnsi="Cambria Math"/>
                    </w:rPr>
                    <m:t>95</m:t>
                  </m:r>
                </m:e>
              </m:d>
              <m:d>
                <m:dPr>
                  <m:ctrlPr>
                    <w:rPr>
                      <w:rFonts w:ascii="Cambria Math" w:hAnsi="Cambria Math"/>
                    </w:rPr>
                  </m:ctrlPr>
                </m:dPr>
                <m:e>
                  <m:r>
                    <m:rPr>
                      <m:sty m:val="p"/>
                    </m:rPr>
                    <w:rPr>
                      <w:rFonts w:ascii="Cambria Math" w:hAnsi="Cambria Math"/>
                    </w:rPr>
                    <m:t>T</m:t>
                  </m:r>
                </m:e>
              </m:d>
            </m:sub>
          </m:sSub>
          <m:r>
            <m:rPr>
              <m:sty m:val="p"/>
            </m:rPr>
            <w:rPr>
              <w:rFonts w:ascii="Cambria Math" w:hAnsi="Cambria Math"/>
            </w:rPr>
            <m:t>=</m:t>
          </m:r>
          <m:r>
            <m:rPr>
              <m:lit/>
              <m:sty m:val="p"/>
            </m:rPr>
            <w:rPr>
              <w:rFonts w:ascii="Cambria Math" w:hAnsi="Cambria Math"/>
            </w:rPr>
            <m:t>(</m:t>
          </m:r>
          <m:r>
            <m:rPr>
              <m:sty m:val="p"/>
            </m:rPr>
            <w:rPr>
              <w:rFonts w:ascii="Cambria Math" w:hAnsi="Cambria Math"/>
            </w:rPr>
            <m:t>B:Q</m:t>
          </m:r>
          <m:d>
            <m:dPr>
              <m:ctrlPr>
                <w:rPr>
                  <w:rFonts w:ascii="Cambria Math" w:hAnsi="Cambria Math"/>
                </w:rPr>
              </m:ctrlPr>
            </m:dPr>
            <m:e>
              <m:r>
                <m:rPr>
                  <m:sty m:val="p"/>
                </m:rPr>
                <w:rPr>
                  <w:rFonts w:ascii="Cambria Math" w:hAnsi="Cambria Math"/>
                </w:rPr>
                <m:t>B,T</m:t>
              </m:r>
            </m:e>
          </m:d>
          <m:r>
            <m:rPr>
              <m:sty m:val="p"/>
            </m:rPr>
            <w:rPr>
              <w:rFonts w:ascii="Cambria Math" w:hAnsi="Cambria Math"/>
            </w:rPr>
            <m:t>≥ 0.95</m:t>
          </m:r>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max</m:t>
                  </m:r>
                </m:e>
              </m:d>
              <m:d>
                <m:dPr>
                  <m:ctrlPr>
                    <w:rPr>
                      <w:rFonts w:ascii="Cambria Math" w:hAnsi="Cambria Math"/>
                    </w:rPr>
                  </m:ctrlPr>
                </m:dPr>
                <m:e>
                  <m:r>
                    <m:rPr>
                      <m:sty m:val="p"/>
                    </m:rPr>
                    <w:rPr>
                      <w:rFonts w:ascii="Cambria Math" w:hAnsi="Cambria Math"/>
                    </w:rPr>
                    <m:t>T</m:t>
                  </m:r>
                </m:e>
              </m:d>
              <m:r>
                <m:rPr>
                  <m:lit/>
                  <m:sty m:val="p"/>
                </m:rPr>
                <w:rPr>
                  <w:rFonts w:ascii="Cambria Math" w:hAnsi="Cambria Math"/>
                </w:rPr>
                <m:t>)</m:t>
              </m:r>
            </m:sub>
          </m:sSub>
          <m:r>
            <m:rPr>
              <m:sty m:val="p"/>
            </m:rPr>
            <w:rPr>
              <w:rFonts w:ascii="Cambria Math" w:hAnsi="Cambria Math"/>
            </w:rPr>
            <m:t>.</m:t>
          </m:r>
        </m:oMath>
      </m:oMathPara>
    </w:p>
    <w:p w14:paraId="2F78534D" w14:textId="3C49F9AB" w:rsidR="00FE5CF5" w:rsidRDefault="00F3169B">
      <w:pPr>
        <w:jc w:val="both"/>
      </w:pPr>
      <w:r>
        <w:rPr>
          <w:rFonts w:eastAsia="Times New Roman" w:cs="Times New Roman"/>
        </w:rPr>
        <w:t xml:space="preserve">For continuous reconstructed profiles,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rPr>
        <w:t xml:space="preserve"> is an interval. For direct public data at only 0, 1.3, 1.5, and 1.66 T, it is a set of measured candidates and must not be interpreted as a continuous field range.</w:t>
      </w:r>
    </w:p>
    <w:p w14:paraId="36208BDD" w14:textId="77777777" w:rsidR="00FE5CF5" w:rsidRDefault="00F3169B">
      <w:pPr>
        <w:jc w:val="both"/>
      </w:pPr>
      <w:r>
        <w:rPr>
          <w:rFonts w:eastAsia="Times New Roman" w:cs="Times New Roman"/>
        </w:rPr>
        <w:t xml:space="preserve">If a field selected from model </w:t>
      </w:r>
      <m:oMath>
        <m:r>
          <m:rPr>
            <m:sty m:val="p"/>
          </m:rPr>
          <w:rPr>
            <w:rFonts w:ascii="Cambria Math" w:hAnsi="Cambria Math"/>
          </w:rPr>
          <m:t>a</m:t>
        </m:r>
      </m:oMath>
      <w:r>
        <w:rPr>
          <w:rFonts w:eastAsia="Times New Roman" w:cs="Times New Roman"/>
        </w:rPr>
        <w:t xml:space="preserve"> is used under model or scenario </w:t>
      </w:r>
      <m:oMath>
        <m:r>
          <m:rPr>
            <m:sty m:val="p"/>
          </m:rPr>
          <w:rPr>
            <w:rFonts w:ascii="Cambria Math" w:hAnsi="Cambria Math"/>
          </w:rPr>
          <m:t>b</m:t>
        </m:r>
      </m:oMath>
      <w:r>
        <w:rPr>
          <w:rFonts w:eastAsia="Times New Roman" w:cs="Times New Roman"/>
        </w:rPr>
        <w:t>, the design regret is</w:t>
      </w:r>
    </w:p>
    <w:p w14:paraId="19A25D6D" w14:textId="1E1CD91D" w:rsidR="00FE5CF5" w:rsidRDefault="00F3169B">
      <w:pPr>
        <w:keepLines/>
        <w:spacing w:before="60" w:after="100"/>
        <w:jc w:val="center"/>
      </w:pPr>
      <m:oMathPara>
        <m:oMath>
          <m:sSub>
            <m:sSubPr>
              <m:ctrlPr>
                <w:rPr>
                  <w:rFonts w:ascii="Cambria Math" w:hAnsi="Cambria Math"/>
                </w:rPr>
              </m:ctrlPr>
            </m:sSubPr>
            <m:e>
              <m:r>
                <m:rPr>
                  <m:sty m:val="p"/>
                </m:rPr>
                <w:rPr>
                  <w:rFonts w:ascii="Cambria Math" w:hAnsi="Cambria Math"/>
                </w:rPr>
                <m:t>R</m:t>
              </m:r>
            </m:e>
            <m:sub>
              <m:d>
                <m:dPr>
                  <m:ctrlPr>
                    <w:rPr>
                      <w:rFonts w:ascii="Cambria Math" w:hAnsi="Cambria Math"/>
                    </w:rPr>
                  </m:ctrlPr>
                </m:dPr>
                <m:e>
                  <m:r>
                    <m:rPr>
                      <m:sty m:val="p"/>
                    </m:rPr>
                    <w:rPr>
                      <w:rFonts w:ascii="Cambria Math" w:hAnsi="Cambria Math"/>
                    </w:rPr>
                    <m:t>a→ b</m:t>
                  </m:r>
                </m:e>
              </m:d>
              <m:d>
                <m:dPr>
                  <m:ctrlPr>
                    <w:rPr>
                      <w:rFonts w:ascii="Cambria Math" w:hAnsi="Cambria Math"/>
                    </w:rPr>
                  </m:ctrlPr>
                </m:dPr>
                <m:e>
                  <m:r>
                    <m:rPr>
                      <m:sty m:val="p"/>
                    </m:rPr>
                    <w:rPr>
                      <w:rFonts w:ascii="Cambria Math" w:hAnsi="Cambria Math"/>
                    </w:rPr>
                    <m:t>T</m:t>
                  </m:r>
                </m:e>
              </m:d>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b</m:t>
                          </m:r>
                        </m:e>
                      </m:d>
                      <m:d>
                        <m:dPr>
                          <m:ctrlPr>
                            <w:rPr>
                              <w:rFonts w:ascii="Cambria Math" w:hAnsi="Cambria Math"/>
                            </w:rPr>
                          </m:ctrlPr>
                        </m:dPr>
                        <m:e>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b</m:t>
                              </m:r>
                            </m:sub>
                            <m:sup>
                              <m:r>
                                <m:rPr>
                                  <m:sty m:val="p"/>
                                </m:rPr>
                                <w:rPr>
                                  <w:rFonts w:ascii="Cambria Math" w:hAnsi="Cambria Math"/>
                                </w:rPr>
                                <m:t>*</m:t>
                              </m:r>
                            </m:sup>
                          </m:sSubSup>
                          <m:r>
                            <m:rPr>
                              <m:sty m:val="p"/>
                            </m:rPr>
                            <w:rPr>
                              <w:rFonts w:ascii="Cambria Math" w:hAnsi="Cambria Math"/>
                            </w:rPr>
                            <m:t>,T</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b</m:t>
                          </m:r>
                        </m:e>
                      </m:d>
                      <m:d>
                        <m:dPr>
                          <m:ctrlPr>
                            <w:rPr>
                              <w:rFonts w:ascii="Cambria Math" w:hAnsi="Cambria Math"/>
                            </w:rPr>
                          </m:ctrlPr>
                        </m:dPr>
                        <m:e>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a</m:t>
                              </m:r>
                            </m:sub>
                            <m:sup>
                              <m:r>
                                <m:rPr>
                                  <m:sty m:val="p"/>
                                </m:rPr>
                                <w:rPr>
                                  <w:rFonts w:ascii="Cambria Math" w:hAnsi="Cambria Math"/>
                                </w:rPr>
                                <m:t>*</m:t>
                              </m:r>
                            </m:sup>
                          </m:sSubSup>
                          <m:r>
                            <m:rPr>
                              <m:sty m:val="p"/>
                            </m:rPr>
                            <w:rPr>
                              <w:rFonts w:ascii="Cambria Math" w:hAnsi="Cambria Math"/>
                            </w:rPr>
                            <m:t>,T</m:t>
                          </m:r>
                        </m:e>
                      </m:d>
                    </m:sub>
                  </m:sSub>
                </m:e>
              </m:d>
            </m:num>
            <m:den>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b</m:t>
                      </m:r>
                    </m:e>
                  </m:d>
                  <m:d>
                    <m:dPr>
                      <m:ctrlPr>
                        <w:rPr>
                          <w:rFonts w:ascii="Cambria Math" w:hAnsi="Cambria Math"/>
                        </w:rPr>
                      </m:ctrlPr>
                    </m:dPr>
                    <m:e>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b</m:t>
                          </m:r>
                        </m:sub>
                        <m:sup>
                          <m:r>
                            <m:rPr>
                              <m:sty m:val="p"/>
                            </m:rPr>
                            <w:rPr>
                              <w:rFonts w:ascii="Cambria Math" w:hAnsi="Cambria Math"/>
                            </w:rPr>
                            <m:t>*</m:t>
                          </m:r>
                        </m:sup>
                      </m:sSubSup>
                      <m:r>
                        <m:rPr>
                          <m:sty m:val="p"/>
                        </m:rPr>
                        <w:rPr>
                          <w:rFonts w:ascii="Cambria Math" w:hAnsi="Cambria Math"/>
                        </w:rPr>
                        <m:t>,T</m:t>
                      </m:r>
                    </m:e>
                  </m:d>
                </m:sub>
              </m:sSub>
            </m:den>
          </m:f>
          <m:r>
            <m:rPr>
              <m:sty m:val="p"/>
            </m:rPr>
            <w:rPr>
              <w:rFonts w:ascii="Cambria Math" w:hAnsi="Cambria Math"/>
            </w:rPr>
            <m:t>%.</m:t>
          </m:r>
        </m:oMath>
      </m:oMathPara>
    </w:p>
    <w:p w14:paraId="04E6E4A9" w14:textId="3B804B9C" w:rsidR="00FE5CF5" w:rsidRDefault="00F3169B">
      <w:pPr>
        <w:jc w:val="both"/>
      </w:pPr>
      <w:r>
        <w:rPr>
          <w:rFonts w:eastAsia="Times New Roman" w:cs="Times New Roman"/>
        </w:rPr>
        <w:t xml:space="preserve">We fixed the decision thresholds before the final calculations: an interaction is engineering-relevant if </w:t>
      </w:r>
      <m:oMath>
        <m:d>
          <m:dPr>
            <m:begChr m:val="|"/>
            <m:endChr m:val="|"/>
            <m:ctrlPr>
              <w:rPr>
                <w:rFonts w:ascii="Cambria Math" w:hAnsi="Cambria Math"/>
              </w:rPr>
            </m:ctrlPr>
          </m:dPr>
          <m:e>
            <m:r>
              <m:rPr>
                <m:sty m:val="p"/>
              </m:rPr>
              <w:rPr>
                <w:rFonts w:ascii="Cambria Math" w:hAnsi="Cambria Math"/>
              </w:rPr>
              <m:t xml:space="preserve">Δ </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e>
        </m:d>
        <m:r>
          <m:rPr>
            <m:sty m:val="p"/>
          </m:rPr>
          <w:rPr>
            <w:rFonts w:ascii="Cambria Math" w:hAnsi="Cambria Math"/>
          </w:rPr>
          <m:t>≥0.05</m:t>
        </m:r>
      </m:oMath>
      <w:r>
        <w:rPr>
          <w:rFonts w:eastAsia="Times New Roman" w:cs="Times New Roman"/>
        </w:rPr>
        <w:t xml:space="preserve"> T or regret is at least 5%. A shift below 0.02 T together </w:t>
      </w:r>
      <w:r>
        <w:rPr>
          <w:rFonts w:eastAsia="Times New Roman" w:cs="Times New Roman"/>
        </w:rPr>
        <w:t>with regret below 2% defines the lower stopping band for this engineering screen.</w:t>
      </w:r>
    </w:p>
    <w:p w14:paraId="28DED481" w14:textId="77777777" w:rsidR="00FE5CF5" w:rsidRDefault="00F3169B">
      <w:pPr>
        <w:pStyle w:val="21"/>
      </w:pPr>
      <w:r>
        <w:rPr>
          <w:rFonts w:ascii="Times New Roman" w:eastAsia="Times New Roman" w:hAnsi="Times New Roman" w:cs="Times New Roman"/>
        </w:rPr>
        <w:t>B. M0–M4 hierarchy</w:t>
      </w:r>
    </w:p>
    <w:p w14:paraId="078B19AE" w14:textId="77777777" w:rsidR="00FE5CF5" w:rsidRDefault="00F3169B">
      <w:pPr>
        <w:jc w:val="both"/>
      </w:pPr>
      <w:r>
        <w:rPr>
          <w:rFonts w:eastAsia="Times New Roman" w:cs="Times New Roman"/>
        </w:rPr>
        <w:t xml:space="preserve">The baseline model is the spin-1/2 nearest-neighbor easy-axis XXZ Hamiltonian for a field along the crystallographic </w:t>
      </w:r>
      <m:oMath>
        <m:r>
          <m:rPr>
            <m:sty m:val="p"/>
          </m:rPr>
          <w:rPr>
            <w:rFonts w:ascii="Cambria Math" w:hAnsi="Cambria Math"/>
          </w:rPr>
          <m:t>c</m:t>
        </m:r>
      </m:oMath>
      <w:r>
        <w:rPr>
          <w:rFonts w:eastAsia="Times New Roman" w:cs="Times New Roman"/>
        </w:rPr>
        <w:t xml:space="preserve"> axis,</w:t>
      </w:r>
    </w:p>
    <w:p w14:paraId="7E64E041" w14:textId="6B31C4C7" w:rsidR="00FE5CF5" w:rsidRDefault="00F3169B">
      <w:pPr>
        <w:keepLines/>
        <w:spacing w:before="60" w:after="100"/>
        <w:jc w:val="center"/>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d>
                <m:dPr>
                  <m:ctrlPr>
                    <w:rPr>
                      <w:rFonts w:ascii="Cambria Math" w:hAnsi="Cambria Math"/>
                    </w:rPr>
                  </m:ctrlPr>
                </m:dPr>
                <m:e>
                  <m:r>
                    <m:rPr>
                      <m:sty m:val="p"/>
                    </m:rPr>
                    <w:rPr>
                      <w:rFonts w:ascii="Cambria Math" w:hAnsi="Cambria Math"/>
                    </w:rPr>
                    <m:t>zz</m:t>
                  </m:r>
                </m:e>
              </m:d>
              <m:sSub>
                <m:sSubPr>
                  <m:ctrlPr>
                    <w:rPr>
                      <w:rFonts w:ascii="Cambria Math" w:hAnsi="Cambria Math"/>
                    </w:rPr>
                  </m:ctrlPr>
                </m:sSubPr>
                <m:e>
                  <m:r>
                    <m:rPr>
                      <m:sty m:val="p"/>
                    </m:rPr>
                    <w:rPr>
                      <w:rFonts w:ascii="Cambria Math" w:hAnsi="Cambria Math"/>
                    </w:rPr>
                    <m:t>Σ</m:t>
                  </m:r>
                </m:e>
                <m:sub>
                  <m:d>
                    <m:dPr>
                      <m:begChr m:val="⟨"/>
                      <m:endChr m:val="⟩"/>
                      <m:ctrlPr>
                        <w:rPr>
                          <w:rFonts w:ascii="Cambria Math" w:hAnsi="Cambria Math"/>
                        </w:rPr>
                      </m:ctrlPr>
                    </m:dPr>
                    <m:e>
                      <m:r>
                        <m:rPr>
                          <m:sty m:val="p"/>
                        </m:rPr>
                        <w:rPr>
                          <w:rFonts w:ascii="Cambria Math" w:hAnsi="Cambria Math"/>
                        </w:rPr>
                        <m:t xml:space="preserve"> ij</m:t>
                      </m:r>
                    </m:e>
                  </m:d>
                </m:sub>
              </m:sSub>
            </m:sub>
          </m:sSub>
          <m:r>
            <m:rPr>
              <m:sty m:val="p"/>
            </m:rPr>
            <w:rPr>
              <w:rFonts w:ascii="Cambria Math" w:hAnsi="Cambria Math"/>
            </w:rPr>
            <m:t>≤ft</m:t>
          </m:r>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sSubSup>
                    <m:sSubSupPr>
                      <m:ctrlPr>
                        <w:rPr>
                          <w:rFonts w:ascii="Cambria Math" w:hAnsi="Cambria Math"/>
                        </w:rPr>
                      </m:ctrlPr>
                    </m:sSubSupPr>
                    <m:e>
                      <m:d>
                        <m:dPr>
                          <m:ctrlPr>
                            <w:rPr>
                              <w:rFonts w:ascii="Cambria Math" w:hAnsi="Cambria Math"/>
                            </w:rPr>
                          </m:ctrlPr>
                        </m:dPr>
                        <m:e>
                          <m:r>
                            <m:rPr>
                              <m:sty m:val="p"/>
                            </m:rPr>
                            <w:rPr>
                              <w:rFonts w:ascii="Cambria Math" w:hAnsi="Cambria Math"/>
                            </w:rPr>
                            <m:t>z</m:t>
                          </m:r>
                        </m:e>
                      </m:d>
                      <m:r>
                        <m:rPr>
                          <m:sty m:val="p"/>
                        </m:rPr>
                        <w:rPr>
                          <w:rFonts w:ascii="Cambria Math" w:hAnsi="Cambria Math"/>
                        </w:rPr>
                        <m:t>S</m:t>
                      </m:r>
                    </m:e>
                    <m:sub>
                      <m:r>
                        <m:rPr>
                          <m:sty m:val="p"/>
                        </m:rPr>
                        <w:rPr>
                          <w:rFonts w:ascii="Cambria Math" w:hAnsi="Cambria Math"/>
                        </w:rPr>
                        <m:t>j</m:t>
                      </m:r>
                    </m:sub>
                    <m:sup>
                      <m:r>
                        <m:rPr>
                          <m:sty m:val="p"/>
                        </m:rPr>
                        <w:rPr>
                          <w:rFonts w:ascii="Cambria Math" w:hAnsi="Cambria Math"/>
                        </w:rPr>
                        <m:t>z</m:t>
                      </m:r>
                    </m:sup>
                  </m:sSubSup>
                </m:sup>
              </m:sSubSup>
              <m:r>
                <m:rPr>
                  <m:sty m:val="p"/>
                </m:rPr>
                <w:rPr>
                  <w:rFonts w:ascii="Cambria Math" w:hAnsi="Cambria Math"/>
                </w:rPr>
                <m:t>+Δ</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sSubSup>
                        <m:sSubSupPr>
                          <m:ctrlPr>
                            <w:rPr>
                              <w:rFonts w:ascii="Cambria Math" w:hAnsi="Cambria Math"/>
                            </w:rPr>
                          </m:ctrlPr>
                        </m:sSubSupPr>
                        <m:e>
                          <m:d>
                            <m:dPr>
                              <m:ctrlPr>
                                <w:rPr>
                                  <w:rFonts w:ascii="Cambria Math" w:hAnsi="Cambria Math"/>
                                </w:rPr>
                              </m:ctrlPr>
                            </m:dPr>
                            <m:e>
                              <m:r>
                                <m:rPr>
                                  <m:sty m:val="p"/>
                                </m:rPr>
                                <w:rPr>
                                  <w:rFonts w:ascii="Cambria Math" w:hAnsi="Cambria Math"/>
                                </w:rPr>
                                <m:t>x</m:t>
                              </m:r>
                            </m:e>
                          </m:d>
                          <m:r>
                            <m:rPr>
                              <m:sty m:val="p"/>
                            </m:rPr>
                            <w:rPr>
                              <w:rFonts w:ascii="Cambria Math" w:hAnsi="Cambria Math"/>
                            </w:rPr>
                            <m:t>S</m:t>
                          </m:r>
                        </m:e>
                        <m:sub>
                          <m:r>
                            <m:rPr>
                              <m:sty m:val="p"/>
                            </m:rPr>
                            <w:rPr>
                              <w:rFonts w:ascii="Cambria Math" w:hAnsi="Cambria Math"/>
                            </w:rPr>
                            <m:t>j</m:t>
                          </m:r>
                        </m:sub>
                        <m:sup>
                          <m:r>
                            <m:rPr>
                              <m:sty m:val="p"/>
                            </m:rPr>
                            <w:rPr>
                              <w:rFonts w:ascii="Cambria Math" w:hAnsi="Cambria Math"/>
                            </w:rPr>
                            <m:t>x</m:t>
                          </m:r>
                        </m:sup>
                      </m:sSubSup>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sSubSup>
                        <m:sSubSupPr>
                          <m:ctrlPr>
                            <w:rPr>
                              <w:rFonts w:ascii="Cambria Math" w:hAnsi="Cambria Math"/>
                            </w:rPr>
                          </m:ctrlPr>
                        </m:sSubSupPr>
                        <m:e>
                          <m:d>
                            <m:dPr>
                              <m:ctrlPr>
                                <w:rPr>
                                  <w:rFonts w:ascii="Cambria Math" w:hAnsi="Cambria Math"/>
                                </w:rPr>
                              </m:ctrlPr>
                            </m:dPr>
                            <m:e>
                              <m:r>
                                <m:rPr>
                                  <m:sty m:val="p"/>
                                </m:rPr>
                                <w:rPr>
                                  <w:rFonts w:ascii="Cambria Math" w:hAnsi="Cambria Math"/>
                                </w:rPr>
                                <m:t>y</m:t>
                              </m:r>
                            </m:e>
                          </m:d>
                          <m:r>
                            <m:rPr>
                              <m:sty m:val="p"/>
                            </m:rPr>
                            <w:rPr>
                              <w:rFonts w:ascii="Cambria Math" w:hAnsi="Cambria Math"/>
                            </w:rPr>
                            <m:t>S</m:t>
                          </m:r>
                        </m:e>
                        <m:sub>
                          <m:r>
                            <m:rPr>
                              <m:sty m:val="p"/>
                            </m:rPr>
                            <w:rPr>
                              <w:rFonts w:ascii="Cambria Math" w:hAnsi="Cambria Math"/>
                            </w:rPr>
                            <m:t>j</m:t>
                          </m:r>
                        </m:sub>
                        <m:sup>
                          <m:r>
                            <m:rPr>
                              <m:sty m:val="p"/>
                            </m:rPr>
                            <w:rPr>
                              <w:rFonts w:ascii="Cambria Math" w:hAnsi="Cambria Math"/>
                            </w:rPr>
                            <m:t>y</m:t>
                          </m:r>
                        </m:sup>
                      </m:sSubSup>
                    </m:sup>
                  </m:sSubSup>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d>
                <m:dPr>
                  <m:ctrlPr>
                    <w:rPr>
                      <w:rFonts w:ascii="Cambria Math" w:hAnsi="Cambria Math"/>
                    </w:rPr>
                  </m:ctrlPr>
                </m:dPr>
                <m:e>
                  <m:r>
                    <m:rPr>
                      <m:sty m:val="p"/>
                    </m:rPr>
                    <w:rPr>
                      <w:rFonts w:ascii="Cambria Math" w:hAnsi="Cambria Math"/>
                    </w:rPr>
                    <m:t>zz</m:t>
                  </m:r>
                </m:e>
              </m:d>
              <m:sSub>
                <m:sSubPr>
                  <m:ctrlPr>
                    <w:rPr>
                      <w:rFonts w:ascii="Cambria Math" w:hAnsi="Cambria Math"/>
                    </w:rPr>
                  </m:ctrlPr>
                </m:sSubPr>
                <m:e>
                  <m:r>
                    <m:rPr>
                      <m:sty m:val="p"/>
                    </m:rPr>
                    <w:rPr>
                      <w:rFonts w:ascii="Cambria Math" w:hAnsi="Cambria Math"/>
                    </w:rPr>
                    <m:t>μ</m:t>
                  </m:r>
                </m:e>
                <m:sub>
                  <m:d>
                    <m:dPr>
                      <m:ctrlPr>
                        <w:rPr>
                          <w:rFonts w:ascii="Cambria Math" w:hAnsi="Cambria Math"/>
                        </w:rPr>
                      </m:ctrlPr>
                    </m:dPr>
                    <m:e>
                      <m:r>
                        <m:rPr>
                          <m:sty m:val="p"/>
                        </m:rPr>
                        <w:rPr>
                          <w:rFonts w:ascii="Cambria Math" w:hAnsi="Cambria Math"/>
                        </w:rPr>
                        <m:t>B</m:t>
                      </m:r>
                    </m:e>
                  </m:d>
                  <m:r>
                    <m:rPr>
                      <m:sty m:val="p"/>
                    </m:rPr>
                    <w:rPr>
                      <w:rFonts w:ascii="Cambria Math" w:hAnsi="Cambria Math"/>
                    </w:rPr>
                    <m:t>B</m:t>
                  </m:r>
                  <m:sSub>
                    <m:sSubPr>
                      <m:ctrlPr>
                        <w:rPr>
                          <w:rFonts w:ascii="Cambria Math" w:hAnsi="Cambria Math"/>
                        </w:rPr>
                      </m:ctrlPr>
                    </m:sSubPr>
                    <m:e>
                      <m:r>
                        <m:rPr>
                          <m:sty m:val="p"/>
                        </m:rPr>
                        <w:rPr>
                          <w:rFonts w:ascii="Cambria Math" w:hAnsi="Cambria Math"/>
                        </w:rPr>
                        <m:t>Σ</m:t>
                      </m:r>
                    </m:e>
                    <m:sub>
                      <m:sSubSup>
                        <m:sSubSupPr>
                          <m:ctrlPr>
                            <w:rPr>
                              <w:rFonts w:ascii="Cambria Math" w:hAnsi="Cambria Math"/>
                            </w:rPr>
                          </m:ctrlPr>
                        </m:sSubSupPr>
                        <m:e>
                          <m:d>
                            <m:dPr>
                              <m:ctrlPr>
                                <w:rPr>
                                  <w:rFonts w:ascii="Cambria Math" w:hAnsi="Cambria Math"/>
                                </w:rPr>
                              </m:ctrlPr>
                            </m:dPr>
                            <m:e>
                              <m:r>
                                <m:rPr>
                                  <m:sty m:val="p"/>
                                </m:rPr>
                                <w:rPr>
                                  <w:rFonts w:ascii="Cambria Math" w:hAnsi="Cambria Math"/>
                                </w:rPr>
                                <m:t>i</m:t>
                              </m:r>
                            </m:e>
                          </m:d>
                          <m:r>
                            <m:rPr>
                              <m:sty m:val="p"/>
                            </m:rPr>
                            <w:rPr>
                              <w:rFonts w:ascii="Cambria Math" w:hAnsi="Cambria Math"/>
                            </w:rPr>
                            <m:t>S</m:t>
                          </m:r>
                        </m:e>
                        <m:sub>
                          <m:r>
                            <m:rPr>
                              <m:sty m:val="p"/>
                            </m:rPr>
                            <w:rPr>
                              <w:rFonts w:ascii="Cambria Math" w:hAnsi="Cambria Math"/>
                            </w:rPr>
                            <m:t>i</m:t>
                          </m:r>
                        </m:sub>
                        <m:sup>
                          <m:r>
                            <m:rPr>
                              <m:sty m:val="p"/>
                            </m:rPr>
                            <w:rPr>
                              <w:rFonts w:ascii="Cambria Math" w:hAnsi="Cambria Math"/>
                            </w:rPr>
                            <m:t>z</m:t>
                          </m:r>
                        </m:sup>
                      </m:sSubSup>
                    </m:sub>
                  </m:sSub>
                </m:sub>
              </m:sSub>
            </m:sub>
          </m:sSub>
          <m:r>
            <m:rPr>
              <m:sty m:val="p"/>
            </m:rPr>
            <w:rPr>
              <w:rFonts w:ascii="Cambria Math" w:hAnsi="Cambria Math"/>
            </w:rPr>
            <m:t>.</m:t>
          </m:r>
        </m:oMath>
      </m:oMathPara>
    </w:p>
    <w:p w14:paraId="7EFC18B8" w14:textId="63B29D04" w:rsidR="00FE5CF5" w:rsidRDefault="00F3169B">
      <w:pPr>
        <w:jc w:val="both"/>
      </w:pPr>
      <w:r>
        <w:rPr>
          <w:rFonts w:eastAsia="Times New Roman" w:cs="Times New Roman"/>
        </w:rPr>
        <w:t xml:space="preserve">We use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zz</m:t>
            </m:r>
          </m:sub>
        </m:sSub>
        <m:r>
          <m:rPr>
            <m:sty m:val="p"/>
          </m:rPr>
          <w:rPr>
            <w:rFonts w:ascii="Cambria Math" w:hAnsi="Cambria Math"/>
          </w:rPr>
          <m:t>=0.1225</m:t>
        </m:r>
      </m:oMath>
      <w:r>
        <w:rPr>
          <w:rFonts w:eastAsia="Times New Roman" w:cs="Times New Roman"/>
        </w:rPr>
        <w:t xml:space="preserve"> meV, </w:t>
      </w:r>
      <m:oMath>
        <m:r>
          <m:rPr>
            <m:sty m:val="p"/>
          </m:rPr>
          <w:rPr>
            <w:rFonts w:ascii="Cambria Math" w:hAnsi="Cambria Math"/>
          </w:rPr>
          <m:t>Δ=0.636</m:t>
        </m:r>
      </m:oMath>
      <w:r>
        <w:rPr>
          <w:rFonts w:eastAsia="Times New Roman" w:cs="Times New Roman"/>
        </w:rPr>
        <w:t xml:space="preserve">, and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zz</m:t>
            </m:r>
          </m:sub>
        </m:sSub>
        <m:r>
          <m:rPr>
            <m:sty m:val="p"/>
          </m:rPr>
          <w:rPr>
            <w:rFonts w:ascii="Cambria Math" w:hAnsi="Cambria Math"/>
          </w:rPr>
          <m:t>=4.716</m:t>
        </m:r>
      </m:oMath>
      <w:r>
        <w:rPr>
          <w:rFonts w:eastAsia="Times New Roman" w:cs="Times New Roman"/>
        </w:rPr>
        <w:t xml:space="preserve"> from the public interaction analysis [4]. The model hierarchy is:</w:t>
      </w:r>
    </w:p>
    <w:p w14:paraId="284D3578" w14:textId="77777777" w:rsidR="00FE5CF5" w:rsidRDefault="00F3169B">
      <w:pPr>
        <w:pStyle w:val="a0"/>
        <w:spacing w:after="50"/>
      </w:pPr>
      <w:r>
        <w:rPr>
          <w:rFonts w:eastAsia="Times New Roman" w:cs="Times New Roman"/>
          <w:b/>
        </w:rPr>
        <w:t>M0:</w:t>
      </w:r>
      <w:r>
        <w:rPr>
          <w:rFonts w:eastAsia="Times New Roman" w:cs="Times New Roman"/>
        </w:rPr>
        <w:t xml:space="preserve"> two-dimensional nearest-neighbor XXZ;</w:t>
      </w:r>
    </w:p>
    <w:p w14:paraId="3509025A" w14:textId="65CDAC0A" w:rsidR="00FE5CF5" w:rsidRDefault="00F3169B">
      <w:pPr>
        <w:pStyle w:val="a0"/>
        <w:spacing w:after="50"/>
      </w:pPr>
      <w:r>
        <w:rPr>
          <w:rFonts w:eastAsia="Times New Roman" w:cs="Times New Roman"/>
          <w:b/>
        </w:rPr>
        <w:t>M1:</w:t>
      </w:r>
      <w:r>
        <w:rPr>
          <w:rFonts w:eastAsia="Times New Roman" w:cs="Times New Roman"/>
        </w:rPr>
        <w:t xml:space="preserve"> M0 plus </w:t>
      </w:r>
      <w:r>
        <w:rPr>
          <w:rFonts w:eastAsia="Times New Roman" w:cs="Times New Roman"/>
        </w:rPr>
        <w:t xml:space="preserve">the reported bond-dependent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m:t>
            </m:r>
          </m:sub>
        </m:sSub>
        <m:r>
          <m:rPr>
            <m:sty m:val="p"/>
          </m:rPr>
          <w:rPr>
            <w:rFonts w:ascii="Cambria Math" w:hAnsi="Cambria Math"/>
          </w:rPr>
          <m:t>=-1.9</m:t>
        </m:r>
      </m:oMath>
      <w:r>
        <w:rPr>
          <w:rFonts w:eastAsia="Times New Roman" w:cs="Times New Roman"/>
        </w:rPr>
        <w:t xml:space="preserve"> microelectronvolt term;</w:t>
      </w:r>
    </w:p>
    <w:p w14:paraId="35AC14A8" w14:textId="77777777" w:rsidR="00FE5CF5" w:rsidRDefault="00F3169B">
      <w:pPr>
        <w:pStyle w:val="a0"/>
        <w:spacing w:after="50"/>
      </w:pPr>
      <w:r>
        <w:rPr>
          <w:rFonts w:eastAsia="Times New Roman" w:cs="Times New Roman"/>
          <w:b/>
        </w:rPr>
        <w:t>M2:</w:t>
      </w:r>
      <w:r>
        <w:rPr>
          <w:rFonts w:eastAsia="Times New Roman" w:cs="Times New Roman"/>
        </w:rPr>
        <w:t xml:space="preserve"> M1 plus only the nearest-neighbor dipolar tensor;</w:t>
      </w:r>
    </w:p>
    <w:p w14:paraId="25A14255" w14:textId="77777777" w:rsidR="00FE5CF5" w:rsidRDefault="00F3169B">
      <w:pPr>
        <w:pStyle w:val="a0"/>
        <w:spacing w:after="50"/>
      </w:pPr>
      <w:r>
        <w:rPr>
          <w:rFonts w:eastAsia="Times New Roman" w:cs="Times New Roman"/>
          <w:b/>
        </w:rPr>
        <w:t>M3:</w:t>
      </w:r>
      <w:r>
        <w:rPr>
          <w:rFonts w:eastAsia="Times New Roman" w:cs="Times New Roman"/>
        </w:rPr>
        <w:t xml:space="preserve"> M1 plus the full long-range dipolar interaction within and between AA-stacked layers, evaluated by a three-dimensional Ewald sum;</w:t>
      </w:r>
    </w:p>
    <w:p w14:paraId="367A6D6D" w14:textId="667C4FC4" w:rsidR="00FE5CF5" w:rsidRDefault="00F3169B">
      <w:pPr>
        <w:pStyle w:val="a0"/>
        <w:spacing w:after="50"/>
      </w:pPr>
      <w:r>
        <w:rPr>
          <w:rFonts w:eastAsia="Times New Roman" w:cs="Times New Roman"/>
          <w:b/>
        </w:rPr>
        <w:t>M4:</w:t>
      </w:r>
      <w:r>
        <w:rPr>
          <w:rFonts w:eastAsia="Times New Roman" w:cs="Times New Roman"/>
        </w:rPr>
        <w:t xml:space="preserve"> </w:t>
      </w:r>
      <w:r>
        <w:rPr>
          <w:rFonts w:eastAsia="Times New Roman" w:cs="Times New Roman"/>
        </w:rPr>
        <w:t xml:space="preserve">M3 plus the symmetry-allowed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oMath>
      <w:r>
        <w:rPr>
          <w:rFonts w:eastAsia="Times New Roman" w:cs="Times New Roman"/>
        </w:rPr>
        <w:t xml:space="preserve"> interlayer exchange paths.</w:t>
      </w:r>
    </w:p>
    <w:p w14:paraId="11C4D16E" w14:textId="37381083" w:rsidR="00FE5CF5" w:rsidRDefault="00F3169B">
      <w:pPr>
        <w:jc w:val="both"/>
      </w:pPr>
      <w:r>
        <w:rPr>
          <w:rFonts w:eastAsia="Times New Roman" w:cs="Times New Roman"/>
        </w:rPr>
        <w:t xml:space="preserve">The magnetic lattice uses space group </w:t>
      </w:r>
      <m:oMath>
        <m:r>
          <m:rPr>
            <m:sty m:val="p"/>
          </m:rPr>
          <w:rPr>
            <w:rFonts w:ascii="Cambria Math" w:hAnsi="Cambria Math"/>
          </w:rPr>
          <m:t>P</m:t>
        </m:r>
        <m:d>
          <m:dPr>
            <m:ctrlPr>
              <w:rPr>
                <w:rFonts w:ascii="Cambria Math" w:hAnsi="Cambria Math"/>
              </w:rPr>
            </m:ctrlPr>
          </m:dPr>
          <m:e>
            <m:r>
              <m:rPr>
                <m:sty m:val="p"/>
              </m:rPr>
              <w:rPr>
                <w:rFonts w:ascii="Cambria Math" w:hAnsi="Cambria Math"/>
              </w:rPr>
              <m:t>3</m:t>
            </m:r>
          </m:e>
        </m:d>
      </m:oMath>
      <w:r>
        <w:rPr>
          <w:rFonts w:eastAsia="Times New Roman" w:cs="Times New Roman"/>
        </w:rPr>
        <w:t xml:space="preserve">, </w:t>
      </w:r>
      <m:oMath>
        <m:r>
          <m:rPr>
            <m:sty m:val="p"/>
          </m:rPr>
          <w:rPr>
            <w:rFonts w:ascii="Cambria Math" w:hAnsi="Cambria Math"/>
          </w:rPr>
          <m:t>a=5.312</m:t>
        </m:r>
      </m:oMath>
      <w:r>
        <w:rPr>
          <w:rFonts w:eastAsia="Times New Roman" w:cs="Times New Roman"/>
        </w:rPr>
        <w:t xml:space="preserve"> Å, </w:t>
      </w:r>
      <m:oMath>
        <m:r>
          <m:rPr>
            <m:sty m:val="p"/>
          </m:rPr>
          <w:rPr>
            <w:rFonts w:ascii="Cambria Math" w:hAnsi="Cambria Math"/>
          </w:rPr>
          <m:t>c=6.983</m:t>
        </m:r>
      </m:oMath>
      <w:r>
        <w:rPr>
          <w:rFonts w:eastAsia="Times New Roman" w:cs="Times New Roman"/>
        </w:rPr>
        <w:t xml:space="preserve"> Å, and one Co magnetic site per primitive cell. The complete equivalent magnetic-lattice input and hashes are provided </w:t>
      </w:r>
      <w:r>
        <w:rPr>
          <w:rFonts w:eastAsia="Times New Roman" w:cs="Times New Roman"/>
        </w:rPr>
        <w:t xml:space="preserve">in </w:t>
      </w:r>
      <w:r>
        <w:rPr>
          <w:rFonts w:ascii="Consolas" w:eastAsia="Consolas" w:hAnsi="Consolas" w:cs="Consolas"/>
          <w:sz w:val="19"/>
        </w:rPr>
        <w:t>sources/crystal_input_provenance_20261012.json</w:t>
      </w:r>
      <w:r>
        <w:rPr>
          <w:rFonts w:eastAsia="Times New Roman" w:cs="Times New Roman"/>
        </w:rPr>
        <w:t>.</w:t>
      </w:r>
    </w:p>
    <w:p w14:paraId="46A332D7" w14:textId="1D2CA9DE" w:rsidR="00FE5CF5" w:rsidRDefault="00F3169B">
      <w:pPr>
        <w:jc w:val="both"/>
      </w:pPr>
      <w:r>
        <w:rPr>
          <w:rFonts w:eastAsia="Times New Roman" w:cs="Times New Roman"/>
        </w:rPr>
        <w:t xml:space="preserve">For the interlayer uncertainty analysis, P0 denotes M3 without interlayer exchange. P1 adds an explicit simple vertical bond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m:t>
            </m:r>
          </m:sub>
        </m:sSub>
        <m:r>
          <m:rPr>
            <m:sty m:val="p"/>
          </m:rPr>
          <w:rPr>
            <w:rFonts w:ascii="Cambria Math" w:hAnsi="Cambria Math"/>
          </w:rPr>
          <m:t>=0.05</m:t>
        </m:r>
      </m:oMath>
      <w:r>
        <w:rPr>
          <w:rFonts w:eastAsia="Times New Roman" w:cs="Times New Roman"/>
        </w:rPr>
        <w:t xml:space="preserve"> K based on a published density-functional energy scale. The published r</w:t>
      </w:r>
      <w:r>
        <w:rPr>
          <w:rFonts w:eastAsia="Times New Roman" w:cs="Times New Roman"/>
        </w:rPr>
        <w:t xml:space="preserve">epresentative P2 seed uses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r>
          <m:rPr>
            <m:sty m:val="p"/>
          </m:rPr>
          <w:rPr>
            <w:rFonts w:ascii="Cambria Math" w:hAnsi="Cambria Math"/>
          </w:rPr>
          <m:t>=2.8</m:t>
        </m:r>
      </m:oMath>
      <w:r>
        <w:rPr>
          <w:rFonts w:eastAsia="Times New Roman" w:cs="Times New Roman"/>
        </w:rPr>
        <w:t xml:space="preserve"> microelectronvolt,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r>
          <m:rPr>
            <m:sty m:val="p"/>
          </m:rPr>
          <w:rPr>
            <w:rFonts w:ascii="Cambria Math" w:hAnsi="Cambria Math"/>
          </w:rPr>
          <m:t>=0</m:t>
        </m:r>
      </m:oMath>
      <w:r>
        <w:rPr>
          <w:rFonts w:eastAsia="Times New Roman" w:cs="Times New Roman"/>
        </w:rPr>
        <w:t xml:space="preserve">,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=7.9</m:t>
        </m:r>
      </m:oMath>
      <w:r>
        <w:rPr>
          <w:rFonts w:eastAsia="Times New Roman" w:cs="Times New Roman"/>
        </w:rPr>
        <w:t xml:space="preserve"> microelectronvolt, and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r>
          <m:rPr>
            <m:sty m:val="p"/>
          </m:rPr>
          <w:rPr>
            <w:rFonts w:ascii="Cambria Math" w:hAnsi="Cambria Math"/>
          </w:rPr>
          <m:t>=0.08</m:t>
        </m:r>
      </m:oMath>
      <w:r>
        <w:rPr>
          <w:rFonts w:eastAsia="Times New Roman" w:cs="Times New Roman"/>
        </w:rPr>
        <w:t xml:space="preserve">. Because Ref. [4] explicitly calls this set non-unique, the final P2 analysis uses a deterministic local stress grid rather than treating the seed </w:t>
      </w:r>
      <w:r>
        <w:rPr>
          <w:rFonts w:eastAsia="Times New Roman" w:cs="Times New Roman"/>
        </w:rPr>
        <w:t>as a fitted Hamiltonian or probability distribution.</w:t>
      </w:r>
    </w:p>
    <w:p w14:paraId="7DE23FB0" w14:textId="77777777" w:rsidR="00FE5CF5" w:rsidRDefault="00F3169B">
      <w:pPr>
        <w:pStyle w:val="1"/>
      </w:pPr>
      <w:r>
        <w:rPr>
          <w:rFonts w:ascii="Times New Roman" w:eastAsia="Times New Roman" w:hAnsi="Times New Roman" w:cs="Times New Roman"/>
        </w:rPr>
        <w:t>III. Methods</w:t>
      </w:r>
    </w:p>
    <w:p w14:paraId="6BB23E1E" w14:textId="77777777" w:rsidR="00FE5CF5" w:rsidRDefault="00F3169B">
      <w:pPr>
        <w:pStyle w:val="21"/>
      </w:pPr>
      <w:r>
        <w:rPr>
          <w:rFonts w:ascii="Times New Roman" w:eastAsia="Times New Roman" w:hAnsi="Times New Roman" w:cs="Times New Roman"/>
        </w:rPr>
        <w:t>A. Public data and entropy reconstruction</w:t>
      </w:r>
    </w:p>
    <w:p w14:paraId="3005F66B" w14:textId="77777777" w:rsidR="00FE5CF5" w:rsidRDefault="00F3169B">
      <w:pPr>
        <w:jc w:val="both"/>
      </w:pPr>
      <w:r>
        <w:rPr>
          <w:rFonts w:eastAsia="Times New Roman" w:cs="Times New Roman"/>
        </w:rPr>
        <w:t xml:space="preserve">All experimental inputs are public source-data workbooks associated with Ref. [1], public article source files, or a public diffraction data </w:t>
      </w:r>
      <w:r>
        <w:rPr>
          <w:rFonts w:eastAsia="Times New Roman" w:cs="Times New Roman"/>
        </w:rPr>
        <w:t>archive. The preserved raw files are hashed in the input manifests. We interpolate only in temperature within a published field curve. Direct 90–300 mK rankings do not interpolate across magnetic field.</w:t>
      </w:r>
    </w:p>
    <w:p w14:paraId="6FCB218A" w14:textId="77777777" w:rsidR="00FE5CF5" w:rsidRDefault="00F3169B">
      <w:pPr>
        <w:jc w:val="both"/>
      </w:pPr>
      <w:r>
        <w:rPr>
          <w:rFonts w:eastAsia="Times New Roman" w:cs="Times New Roman"/>
        </w:rPr>
        <w:t>We also performed a source-data consistency audit. In</w:t>
      </w:r>
      <w:r>
        <w:rPr>
          <w:rFonts w:eastAsia="Times New Roman" w:cs="Times New Roman"/>
        </w:rPr>
        <w:t xml:space="preserve"> the public Extended Data Fig. 6 workbook, the sheet-a curve labelled </w:t>
      </w:r>
      <w:r>
        <w:rPr>
          <w:rFonts w:ascii="Consolas" w:eastAsia="Consolas" w:hAnsi="Consolas" w:cs="Consolas"/>
          <w:sz w:val="19"/>
        </w:rPr>
        <w:t>GGG-2-4</w:t>
      </w:r>
      <w:r>
        <w:rPr>
          <w:rFonts w:eastAsia="Times New Roman" w:cs="Times New Roman"/>
        </w:rPr>
        <w:t xml:space="preserve"> reproduces the article's identifiable NBCP point of 94 mK at a remaining field of approximately 1.5 T, whereas the curve labelled </w:t>
      </w:r>
      <w:r>
        <w:rPr>
          <w:rFonts w:ascii="Consolas" w:eastAsia="Consolas" w:hAnsi="Consolas" w:cs="Consolas"/>
          <w:sz w:val="19"/>
        </w:rPr>
        <w:t>NBCP-2-4</w:t>
      </w:r>
      <w:r>
        <w:rPr>
          <w:rFonts w:eastAsia="Times New Roman" w:cs="Times New Roman"/>
        </w:rPr>
        <w:t xml:space="preserve"> does not. We therefore do not use the s</w:t>
      </w:r>
      <w:r>
        <w:rPr>
          <w:rFonts w:eastAsia="Times New Roman" w:cs="Times New Roman"/>
        </w:rPr>
        <w:t>heet-a/b cooling-curve labels for any new material ranking or engineering calculation. The independently labelled sheet-d time traces reproduce the reported ordering and are used only for the contextual hold-time comparison in the Introduction. The entropy</w:t>
      </w:r>
      <w:r>
        <w:rPr>
          <w:rFonts w:eastAsia="Times New Roman" w:cs="Times New Roman"/>
        </w:rPr>
        <w:t xml:space="preserve"> reconstruction and operating-field results use separate heat-capacity and entropy source data.</w:t>
      </w:r>
    </w:p>
    <w:p w14:paraId="5ED28D96" w14:textId="77777777" w:rsidR="00FE5CF5" w:rsidRDefault="00F3169B">
      <w:pPr>
        <w:jc w:val="both"/>
      </w:pPr>
      <w:r>
        <w:rPr>
          <w:rFonts w:eastAsia="Times New Roman" w:cs="Times New Roman"/>
        </w:rPr>
        <w:t>As an external check of the thermodynamic-processing step, we use the public Gd₂B₂MoO₉ source workbook, which reports heat-capacity-derived and directly measure</w:t>
      </w:r>
      <w:r>
        <w:rPr>
          <w:rFonts w:eastAsia="Times New Roman" w:cs="Times New Roman"/>
        </w:rPr>
        <w:t xml:space="preserve">d adiabatic temperature changes at 0.5, 1, 2, and 5 T [18]. The indirect curve at each field is linearly interpolated only in starting temperature to the three direct-comparison coordinates selected by the source authors. This 12-point check tests whether </w:t>
      </w:r>
      <w:r>
        <w:rPr>
          <w:rFonts w:eastAsia="Times New Roman" w:cs="Times New Roman"/>
        </w:rPr>
        <w:t>field-resolved equilibrium thermodynamics tracks direct demagnetization response in a second frustrated refrigerant. It does not test the NBCP field-shift surrogate, Hamiltonian, or package model.</w:t>
      </w:r>
    </w:p>
    <w:p w14:paraId="4E8EA768" w14:textId="4F8FB8AA" w:rsidR="00FE5CF5" w:rsidRDefault="00F3169B">
      <w:pPr>
        <w:jc w:val="both"/>
      </w:pPr>
      <w:r>
        <w:rPr>
          <w:rFonts w:eastAsia="Times New Roman" w:cs="Times New Roman"/>
        </w:rPr>
        <w:t>As a separate device-level check, we use the Cambridge publ</w:t>
      </w:r>
      <w:r>
        <w:rPr>
          <w:rFonts w:eastAsia="Times New Roman" w:cs="Times New Roman"/>
        </w:rPr>
        <w:t>ic repository for a single approximately 15 g YbNi₁.₆Sn pill [19]. It provides zero-field electronic heat capacity and time-resolved warm-up curves under labelled 2.5 and 5.0 microWatt heat inputs. We add the source-reported zero-field nuclear contribution</w:t>
      </w:r>
      <w:r>
        <w:rPr>
          <w:rFonts w:eastAsia="Times New Roman" w:cs="Times New Roman"/>
        </w:rPr>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α</m:t>
                </m:r>
              </m:e>
              <m:sub>
                <m:r>
                  <m:rPr>
                    <m:sty m:val="p"/>
                  </m:rPr>
                  <w:rPr>
                    <w:rFonts w:ascii="Cambria Math" w:hAnsi="Cambria Math"/>
                  </w:rPr>
                  <m:t>0</m:t>
                </m:r>
              </m:sub>
            </m:sSub>
          </m:num>
          <m:den>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den>
        </m:f>
      </m:oMath>
      <w:r>
        <w:rPr>
          <w:rFonts w:eastAsia="Times New Roman" w:cs="Times New Roman"/>
        </w:rPr>
        <w:t xml:space="preserve"> with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0</m:t>
            </m:r>
          </m:sub>
        </m:sSub>
        <m:r>
          <m:rPr>
            <m:sty m:val="p"/>
          </m:rPr>
          <w:rPr>
            <w:rFonts w:ascii="Cambria Math" w:hAnsi="Cambria Math"/>
          </w:rPr>
          <m:t>=4.4</m:t>
        </m:r>
      </m:oMath>
      <w:r>
        <w:rPr>
          <w:rFonts w:eastAsia="Times New Roman" w:cs="Times New Roman"/>
        </w:rPr>
        <w:t xml:space="preserve"> mJ K mol</w:t>
      </w:r>
      <m:oMath>
        <m:sSup>
          <m:sSupPr>
            <m:ctrlPr>
              <w:rPr>
                <w:rFonts w:ascii="Cambria Math" w:hAnsi="Cambria Math"/>
              </w:rPr>
            </m:ctrlPr>
          </m:sSupPr>
          <m:e/>
          <m:sup>
            <m:r>
              <m:rPr>
                <m:sty m:val="p"/>
              </m:rPr>
              <w:rPr>
                <w:rFonts w:ascii="Cambria Math" w:hAnsi="Cambria Math"/>
              </w:rPr>
              <m:t>-1</m:t>
            </m:r>
          </m:sup>
        </m:sSup>
      </m:oMath>
      <w:r>
        <w:rPr>
          <w:rFonts w:eastAsia="Times New Roman" w:cs="Times New Roman"/>
        </w:rPr>
        <w:t xml:space="preserve">, and fit one common effective mass and one common steady parasitic load over 0.21–0.25 K. The disjoint 0.25–0.28 K interval is reserved for prediction. This test directly examines the lumped stage identity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applied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parasitic</m:t>
                </m:r>
              </m:sub>
            </m:sSub>
          </m:e>
        </m:d>
        <m:r>
          <m:rPr>
            <m:sty m:val="p"/>
          </m:rPr>
          <w:rPr>
            <w:rFonts w:ascii="Cambria Math" w:hAnsi="Cambria Math"/>
          </w:rPr>
          <m:t>dt=</m:t>
        </m:r>
        <m:d>
          <m:dPr>
            <m:ctrlPr>
              <w:rPr>
                <w:rFonts w:ascii="Cambria Math" w:hAnsi="Cambria Math"/>
              </w:rPr>
            </m:ctrlPr>
          </m:dPr>
          <m:e>
            <m:f>
              <m:fPr>
                <m:ctrlPr>
                  <w:rPr>
                    <w:rFonts w:ascii="Cambria Math" w:hAnsi="Cambria Math"/>
                  </w:rPr>
                </m:ctrlPr>
              </m:fPr>
              <m:num>
                <m:r>
                  <m:rPr>
                    <m:sty m:val="p"/>
                  </m:rPr>
                  <w:rPr>
                    <w:rFonts w:ascii="Cambria Math" w:hAnsi="Cambria Math"/>
                  </w:rPr>
                  <m:t>m</m:t>
                </m:r>
              </m:num>
              <m:den>
                <m:r>
                  <m:rPr>
                    <m:sty m:val="p"/>
                  </m:rPr>
                  <w:rPr>
                    <w:rFonts w:ascii="Cambria Math" w:hAnsi="Cambria Math"/>
                  </w:rPr>
                  <m:t>M</m:t>
                </m:r>
              </m:den>
            </m:f>
          </m:e>
        </m:d>
        <m:r>
          <m:rPr>
            <m:sty m:val="p"/>
          </m:rPr>
          <w:rPr>
            <w:rFonts w:ascii="Cambria Math" w:hAnsi="Cambria Math"/>
          </w:rPr>
          <m:t>C</m:t>
        </m:r>
        <m:d>
          <m:dPr>
            <m:ctrlPr>
              <w:rPr>
                <w:rFonts w:ascii="Cambria Math" w:hAnsi="Cambria Math"/>
              </w:rPr>
            </m:ctrlPr>
          </m:dPr>
          <m:e>
            <m:r>
              <m:rPr>
                <m:sty m:val="p"/>
              </m:rPr>
              <w:rPr>
                <w:rFonts w:ascii="Cambria Math" w:hAnsi="Cambria Math"/>
              </w:rPr>
              <m:t>T</m:t>
            </m:r>
          </m:e>
        </m:d>
        <m:r>
          <m:rPr>
            <m:sty m:val="p"/>
          </m:rPr>
          <w:rPr>
            <w:rFonts w:ascii="Cambria Math" w:hAnsi="Cambria Math"/>
          </w:rPr>
          <m:t>dT</m:t>
        </m:r>
      </m:oMath>
      <w:r>
        <w:rPr>
          <w:rFonts w:eastAsia="Times New Roman" w:cs="Times New Roman"/>
        </w:rPr>
        <w:t>; it does not transfer YbNi₁.₆Sn package properties to NBCP.</w:t>
      </w:r>
    </w:p>
    <w:p w14:paraId="51B91A8B" w14:textId="1416FDF2" w:rsidR="00FE5CF5" w:rsidRDefault="00F3169B">
      <w:pPr>
        <w:jc w:val="both"/>
      </w:pPr>
      <w:r>
        <w:rPr>
          <w:rFonts w:eastAsia="Times New Roman" w:cs="Times New Roman"/>
        </w:rPr>
        <w:t xml:space="preserve">For the continuous near-saturation diagnostic, we reconstructed the published XTRG entropy surface by integrating the recovered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m</m:t>
                </m:r>
              </m:sub>
            </m:sSub>
          </m:num>
          <m:den>
            <m:r>
              <m:rPr>
                <m:sty m:val="p"/>
              </m:rPr>
              <w:rPr>
                <w:rFonts w:ascii="Cambria Math" w:hAnsi="Cambria Math"/>
              </w:rPr>
              <m:t>T</m:t>
            </m:r>
          </m:den>
        </m:f>
      </m:oMath>
      <w:r>
        <w:rPr>
          <w:rFonts w:eastAsia="Times New Roman" w:cs="Times New Roman"/>
        </w:rPr>
        <w:t xml:space="preserve"> field-tempe</w:t>
      </w:r>
      <w:r>
        <w:rPr>
          <w:rFonts w:eastAsia="Times New Roman" w:cs="Times New Roman"/>
        </w:rPr>
        <w:t>rature map downward from its 1 K entropy anchor. The zero-field reconstructed entropy agrees with the independently published vector curve with a root-mean-square error of 0.0335 J mol−1 K−1. We use the reconstructed surface as the M0 bulk reference profil</w:t>
      </w:r>
      <w:r>
        <w:rPr>
          <w:rFonts w:eastAsia="Times New Roman" w:cs="Times New Roman"/>
        </w:rPr>
        <w:t>e; it is not relabeled as an M4 solution.</w:t>
      </w:r>
    </w:p>
    <w:p w14:paraId="453C3790" w14:textId="77777777" w:rsidR="00FE5CF5" w:rsidRDefault="00F3169B">
      <w:pPr>
        <w:pStyle w:val="21"/>
      </w:pPr>
      <w:r>
        <w:rPr>
          <w:rFonts w:ascii="Times New Roman" w:eastAsia="Times New Roman" w:hAnsi="Times New Roman" w:cs="Times New Roman"/>
        </w:rPr>
        <w:t>B. Finite-size thermodynamics</w:t>
      </w:r>
    </w:p>
    <w:p w14:paraId="322C6CD3" w14:textId="3B6B59FE" w:rsidR="00FE5CF5" w:rsidRDefault="00F3169B">
      <w:pPr>
        <w:jc w:val="both"/>
      </w:pPr>
      <w:r>
        <w:rPr>
          <w:rFonts w:eastAsia="Times New Roman" w:cs="Times New Roman"/>
        </w:rPr>
        <w:t>We implemented matrix-free Hamiltonian-vector products and verified them against exact N=9 and N=12 matrices. N=15 and N=18 thermodynamics were computed with finite-temperature Lanczos</w:t>
      </w:r>
      <w:r>
        <w:rPr>
          <w:rFonts w:eastAsia="Times New Roman" w:cs="Times New Roman"/>
        </w:rPr>
        <w:t xml:space="preserve"> sampling and thermal-pure-state checks [5,6]. Internal tests included the high-temperature </w:t>
      </w:r>
      <m:oMath>
        <m:r>
          <m:rPr>
            <m:sty m:val="p"/>
          </m:rPr>
          <w:rPr>
            <w:rFonts w:ascii="Cambria Math" w:hAnsi="Cambria Math"/>
          </w:rPr>
          <m:t>ln2</m:t>
        </m:r>
      </m:oMath>
      <w:r>
        <w:rPr>
          <w:rFonts w:eastAsia="Times New Roman" w:cs="Times New Roman"/>
        </w:rPr>
        <w:t xml:space="preserve"> entropy limit, </w:t>
      </w:r>
      <m:oMath>
        <m:f>
          <m:fPr>
            <m:ctrlPr>
              <w:rPr>
                <w:rFonts w:ascii="Cambria Math" w:hAnsi="Cambria Math"/>
              </w:rPr>
            </m:ctrlPr>
          </m:fPr>
          <m:num>
            <m:r>
              <m:rPr>
                <m:sty m:val="p"/>
              </m:rPr>
              <w:rPr>
                <w:rFonts w:ascii="Cambria Math" w:hAnsi="Cambria Math"/>
              </w:rPr>
              <m:t>dU</m:t>
            </m:r>
          </m:num>
          <m:den>
            <m:r>
              <m:rPr>
                <m:sty m:val="p"/>
              </m:rPr>
              <w:rPr>
                <w:rFonts w:ascii="Cambria Math" w:hAnsi="Cambria Math"/>
              </w:rPr>
              <m:t>dT</m:t>
            </m:r>
          </m:den>
        </m:f>
        <m:r>
          <m:rPr>
            <m:sty m:val="p"/>
          </m:rPr>
          <w:rPr>
            <w:rFonts w:ascii="Cambria Math" w:hAnsi="Cambria Math"/>
          </w:rPr>
          <m:t>=C</m:t>
        </m:r>
      </m:oMath>
      <w:r>
        <w:rPr>
          <w:rFonts w:eastAsia="Times New Roman" w:cs="Times New Roman"/>
        </w:rPr>
        <w:t>, exact small-system agreement, random-vector convergence, and deterministic low-energy replacement.</w:t>
      </w:r>
    </w:p>
    <w:p w14:paraId="6D57A880" w14:textId="77777777" w:rsidR="00FE5CF5" w:rsidRDefault="00F3169B">
      <w:pPr>
        <w:jc w:val="both"/>
      </w:pPr>
      <w:r>
        <w:rPr>
          <w:rFonts w:eastAsia="Times New Roman" w:cs="Times New Roman"/>
        </w:rPr>
        <w:t>The cluster calculations serve two ro</w:t>
      </w:r>
      <w:r>
        <w:rPr>
          <w:rFonts w:eastAsia="Times New Roman" w:cs="Times New Roman"/>
        </w:rPr>
        <w:t>les. First, they determine whether a weak-term correction is visible at the target temperatures. Second, disagreement between sizes acts as a stopping signal against an unjustified bulk claim. Fixed-magnon-sector calculations through N=27 were added near s</w:t>
      </w:r>
      <w:r>
        <w:rPr>
          <w:rFonts w:eastAsia="Times New Roman" w:cs="Times New Roman"/>
        </w:rPr>
        <w:t>aturation to separate truncation error from shell effects.</w:t>
      </w:r>
    </w:p>
    <w:p w14:paraId="56E82C23" w14:textId="0AFF9F44" w:rsidR="00FE5CF5" w:rsidRDefault="00F3169B">
      <w:pPr>
        <w:jc w:val="both"/>
      </w:pPr>
      <w:r>
        <w:rPr>
          <w:rFonts w:eastAsia="Times New Roman" w:cs="Times New Roman"/>
        </w:rPr>
        <w:t xml:space="preserve">The quantitative size-transfer gate compares the periodic </w:t>
      </w:r>
      <m:oMath>
        <m:r>
          <m:rPr>
            <m:sty m:val="p"/>
          </m:rPr>
          <w:rPr>
            <w:rFonts w:ascii="Cambria Math" w:hAnsi="Cambria Math"/>
          </w:rPr>
          <m:t>3×2×2</m:t>
        </m:r>
      </m:oMath>
      <w:r>
        <w:rPr>
          <w:rFonts w:eastAsia="Times New Roman" w:cs="Times New Roman"/>
        </w:rPr>
        <w:t xml:space="preserve">, </w:t>
      </w:r>
      <m:oMath>
        <m:r>
          <m:rPr>
            <m:sty m:val="p"/>
          </m:rPr>
          <w:rPr>
            <w:rFonts w:ascii="Cambria Math" w:hAnsi="Cambria Math"/>
          </w:rPr>
          <m:t>N=12</m:t>
        </m:r>
      </m:oMath>
      <w:r>
        <w:rPr>
          <w:rFonts w:eastAsia="Times New Roman" w:cs="Times New Roman"/>
        </w:rPr>
        <w:t xml:space="preserve"> cluster with a periodic </w:t>
      </w:r>
      <m:oMath>
        <m:r>
          <m:rPr>
            <m:sty m:val="p"/>
          </m:rPr>
          <w:rPr>
            <w:rFonts w:ascii="Cambria Math" w:hAnsi="Cambria Math"/>
          </w:rPr>
          <m:t>3×3×2</m:t>
        </m:r>
      </m:oMath>
      <w:r>
        <w:rPr>
          <w:rFonts w:eastAsia="Times New Roman" w:cs="Times New Roman"/>
        </w:rPr>
        <w:t xml:space="preserve">, </w:t>
      </w:r>
      <m:oMath>
        <m:r>
          <m:rPr>
            <m:sty m:val="p"/>
          </m:rPr>
          <w:rPr>
            <w:rFonts w:ascii="Cambria Math" w:hAnsi="Cambria Math"/>
          </w:rPr>
          <m:t>N=18</m:t>
        </m:r>
      </m:oMath>
      <w:r>
        <w:rPr>
          <w:rFonts w:eastAsia="Times New Roman" w:cs="Times New Roman"/>
        </w:rPr>
        <w:t xml:space="preserve"> cluster compatible with three-sublattice order in both planar directions. Before inspecting</w:t>
      </w:r>
      <w:r>
        <w:rPr>
          <w:rFonts w:eastAsia="Times New Roman" w:cs="Times New Roman"/>
        </w:rPr>
        <w:t xml:space="preserve"> the new N=18 results, we fixed M3 plus minimum-shift M4-00, nominal M4-02, median-shift/distinct-coupling M4-03, and maximum-shift M4-01. A K4/K5 pilot triggered a common 1.10–2.10 T K6/K7 grid at 0.02 T spacing. Before any dense worker completed, the ori</w:t>
      </w:r>
      <w:r>
        <w:rPr>
          <w:rFonts w:eastAsia="Times New Roman" w:cs="Times New Roman"/>
        </w:rPr>
        <w:t xml:space="preserve">ginal 0.01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close-peak window was conservatively widened to 0.02 because existing M3 L12-to-L32 corrections reached 0.01023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Every local maximum inside this amended window is recalculated with 32 states per parity at its center</w:t>
      </w:r>
      <w:r>
        <w:rPr>
          <w:rFonts w:eastAsia="Times New Roman" w:cs="Times New Roman"/>
        </w:rPr>
        <w:t xml:space="preserve"> and ±0.02 T neighbors; the largest local quadratic peak is retained. At the selected center we compare K6/K7 and K8/K9, and the 4 T, 2 K reference extends through K10/K11. These are local numerical checks inside the declared projection, not thermodynamic-</w:t>
      </w:r>
      <w:r>
        <w:rPr>
          <w:rFonts w:eastAsia="Times New Roman" w:cs="Times New Roman"/>
        </w:rPr>
        <w:t>limit convergence.</w:t>
      </w:r>
    </w:p>
    <w:p w14:paraId="23F21B73" w14:textId="77777777" w:rsidR="00FE5CF5" w:rsidRDefault="00F3169B">
      <w:pPr>
        <w:pStyle w:val="21"/>
      </w:pPr>
      <w:r>
        <w:rPr>
          <w:rFonts w:ascii="Times New Roman" w:eastAsia="Times New Roman" w:hAnsi="Times New Roman" w:cs="Times New Roman"/>
        </w:rPr>
        <w:t>C. Bulk polarized-state stability and dipolar summation</w:t>
      </w:r>
    </w:p>
    <w:p w14:paraId="1A13D15D" w14:textId="0DC8EC0C" w:rsidR="00FE5CF5" w:rsidRDefault="00F3169B">
      <w:pPr>
        <w:jc w:val="both"/>
      </w:pPr>
      <w:r>
        <w:rPr>
          <w:rFonts w:eastAsia="Times New Roman" w:cs="Times New Roman"/>
        </w:rPr>
        <w:t xml:space="preserve">For each model, the zero-temperature polarized-state critical field was obtained from the minimum eigenvalue of the transverse Hessian over the three-dimensional Brillouin zone. The M0 implementation reproduces its analytic field to </w:t>
      </w:r>
      <m:oMath>
        <m:r>
          <m:rPr>
            <m:sty m:val="p"/>
          </m:rPr>
          <w:rPr>
            <w:rFonts w:ascii="Cambria Math" w:hAnsi="Cambria Math"/>
          </w:rPr>
          <m:t>4.4×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-16</m:t>
            </m:r>
          </m:sup>
        </m:sSup>
      </m:oMath>
      <w:r>
        <w:rPr>
          <w:rFonts w:eastAsia="Times New Roman" w:cs="Times New Roman"/>
        </w:rPr>
        <w:t xml:space="preserve"> T. Long-ra</w:t>
      </w:r>
      <w:r>
        <w:rPr>
          <w:rFonts w:eastAsia="Times New Roman" w:cs="Times New Roman"/>
        </w:rPr>
        <w:t xml:space="preserve">nge dipoles were summed by Ewald decomposition. Because the </w:t>
      </w:r>
      <m:oMath>
        <m:r>
          <m:rPr>
            <m:sty m:val="p"/>
          </m:rPr>
          <w:rPr>
            <w:rFonts w:ascii="Cambria Math" w:hAnsi="Cambria Math"/>
          </w:rPr>
          <m:t>k=0</m:t>
        </m:r>
      </m:oMath>
      <w:r>
        <w:rPr>
          <w:rFonts w:eastAsia="Times New Roman" w:cs="Times New Roman"/>
        </w:rPr>
        <w:t xml:space="preserve"> dipolar term depends on the dielectric or magnetic environment at the macroscopic boundary, conditionally convergent lattice sums require an explicit surface convention [13]. We therefore repo</w:t>
      </w:r>
      <w:r>
        <w:rPr>
          <w:rFonts w:eastAsia="Times New Roman" w:cs="Times New Roman"/>
        </w:rPr>
        <w:t>rt both tin-foil and spherical-vacuum conventions. Real- and reciprocal-space cutoffs and the Ewald splitting parameter were converged independently.</w:t>
      </w:r>
    </w:p>
    <w:p w14:paraId="05539450" w14:textId="5D81C362" w:rsidR="00FE5CF5" w:rsidRDefault="00F3169B">
      <w:pPr>
        <w:jc w:val="both"/>
      </w:pPr>
      <w:r>
        <w:rPr>
          <w:rFonts w:eastAsia="Times New Roman" w:cs="Times New Roman"/>
        </w:rPr>
        <w:t xml:space="preserve">The stability calculation is a bulk critical-mode diagnostic, not a finite-temperature entropy solver. To </w:t>
      </w:r>
      <w:r>
        <w:rPr>
          <w:rFonts w:eastAsia="Times New Roman" w:cs="Times New Roman"/>
        </w:rPr>
        <w:t xml:space="preserve">connect it to refrigeration, we horizontally transport the public M0 entropy profile by two decision-scale mappings: fixed reduced field </w:t>
      </w:r>
      <m:oMath>
        <m:f>
          <m:fPr>
            <m:ctrlPr>
              <w:rPr>
                <w:rFonts w:ascii="Cambria Math" w:hAnsi="Cambria Math"/>
              </w:rPr>
            </m:ctrlPr>
          </m:fPr>
          <m:num>
            <m:r>
              <m:rPr>
                <m:sty m:val="p"/>
              </m:rPr>
              <w:rPr>
                <w:rFonts w:ascii="Cambria Math" w:hAnsi="Cambria Math"/>
              </w:rPr>
              <m:t>B</m:t>
            </m:r>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den>
        </m:f>
      </m:oMath>
      <w:r>
        <w:rPr>
          <w:rFonts w:eastAsia="Times New Roman" w:cs="Times New Roman"/>
        </w:rPr>
        <w:t xml:space="preserve"> and fixed critical-field offset </w:t>
      </w:r>
      <m:oMath>
        <m:r>
          <m:rPr>
            <m:sty m:val="p"/>
          </m:rPr>
          <w:rPr>
            <w:rFonts w:ascii="Cambria Math" w:hAnsi="Cambria Math"/>
          </w:rPr>
          <m:t>B-</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rPr>
        <w:t>. Reporting both prevents a single similarity assumption from determinin</w:t>
      </w:r>
      <w:r>
        <w:rPr>
          <w:rFonts w:eastAsia="Times New Roman" w:cs="Times New Roman"/>
        </w:rPr>
        <w:t>g the conclusion.</w:t>
      </w:r>
    </w:p>
    <w:p w14:paraId="726D6506" w14:textId="77777777" w:rsidR="00FE5CF5" w:rsidRDefault="00F3169B">
      <w:pPr>
        <w:jc w:val="both"/>
      </w:pPr>
      <w:r>
        <w:rPr>
          <w:rFonts w:eastAsia="Times New Roman" w:cs="Times New Roman"/>
        </w:rPr>
        <w:t>The published full-model mean-field critical field is 1.86 T, whereas neutron diffraction and bulk probes place the measured transition at 1.65–1.70 T [4]. Consequently, the primary P0–P2 engineering analysis anchors P2 to the measured in</w:t>
      </w:r>
      <w:r>
        <w:rPr>
          <w:rFonts w:eastAsia="Times New Roman" w:cs="Times New Roman"/>
        </w:rPr>
        <w:t>terval and transports only the calculated ablation shifts to P0 and P1. This removes the known absolute mean-field bias from the recommended operating field.</w:t>
      </w:r>
    </w:p>
    <w:p w14:paraId="69C99E93" w14:textId="3B88BC48" w:rsidR="00FE5CF5" w:rsidRDefault="00F3169B">
      <w:pPr>
        <w:jc w:val="both"/>
      </w:pPr>
      <w:r>
        <w:rPr>
          <w:rFonts w:eastAsia="Times New Roman" w:cs="Times New Roman"/>
        </w:rPr>
        <w:t xml:space="preserve">We test the non-uniqueness of P2 with a deterministic </w:t>
      </w:r>
      <m:oMath>
        <m:r>
          <m:rPr>
            <m:sty m:val="p"/>
          </m:rPr>
          <w:rPr>
            <w:rFonts w:ascii="Cambria Math" w:hAnsi="Cambria Math"/>
          </w:rPr>
          <m:t>3×5×5×5</m:t>
        </m:r>
      </m:oMath>
      <w:r>
        <w:rPr>
          <w:rFonts w:eastAsia="Times New Roman" w:cs="Times New Roman"/>
        </w:rPr>
        <w:t xml:space="preserve"> grid: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r>
          <m:rPr>
            <m:sty m:val="p"/>
          </m:rPr>
          <w:rPr>
            <w:rFonts w:ascii="Cambria Math" w:hAnsi="Cambria Math"/>
          </w:rPr>
          <m:t>=1.4,2.8,4.2</m:t>
        </m:r>
      </m:oMath>
      <w:r>
        <w:rPr>
          <w:rFonts w:eastAsia="Times New Roman" w:cs="Times New Roman"/>
        </w:rPr>
        <w:t xml:space="preserve"> microelectro</w:t>
      </w:r>
      <w:r>
        <w:rPr>
          <w:rFonts w:eastAsia="Times New Roman" w:cs="Times New Roman"/>
        </w:rPr>
        <w:t xml:space="preserve">nvolt;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r>
          <m:rPr>
            <m:sty m:val="p"/>
          </m:rPr>
          <w:rPr>
            <w:rFonts w:ascii="Cambria Math" w:hAnsi="Cambria Math"/>
          </w:rPr>
          <m:t>=-2.8</m:t>
        </m:r>
      </m:oMath>
      <w:r>
        <w:rPr>
          <w:rFonts w:eastAsia="Times New Roman" w:cs="Times New Roman"/>
        </w:rPr>
        <w:t xml:space="preserve"> to </w:t>
      </w:r>
      <m:oMath>
        <m:r>
          <m:rPr>
            <m:sty m:val="p"/>
          </m:rPr>
          <w:rPr>
            <w:rFonts w:ascii="Cambria Math" w:hAnsi="Cambria Math"/>
          </w:rPr>
          <m:t>2.8</m:t>
        </m:r>
      </m:oMath>
      <w:r>
        <w:rPr>
          <w:rFonts w:eastAsia="Times New Roman" w:cs="Times New Roman"/>
        </w:rPr>
        <w:t xml:space="preserve"> microelectronvolt;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=3.95</m:t>
        </m:r>
      </m:oMath>
      <w:r>
        <w:rPr>
          <w:rFonts w:eastAsia="Times New Roman" w:cs="Times New Roman"/>
        </w:rPr>
        <w:t xml:space="preserve"> to </w:t>
      </w:r>
      <m:oMath>
        <m:r>
          <m:rPr>
            <m:sty m:val="p"/>
          </m:rPr>
          <w:rPr>
            <w:rFonts w:ascii="Cambria Math" w:hAnsi="Cambria Math"/>
          </w:rPr>
          <m:t>11.85</m:t>
        </m:r>
      </m:oMath>
      <w:r>
        <w:rPr>
          <w:rFonts w:eastAsia="Times New Roman" w:cs="Times New Roman"/>
        </w:rPr>
        <w:t xml:space="preserve"> microelectronvolt; and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r>
          <m:rPr>
            <m:sty m:val="p"/>
          </m:rPr>
          <w:rPr>
            <w:rFonts w:ascii="Cambria Math" w:hAnsi="Cambria Math"/>
          </w:rPr>
          <m:t>=0.04</m:t>
        </m:r>
      </m:oMath>
      <w:r>
        <w:rPr>
          <w:rFonts w:eastAsia="Times New Roman" w:cs="Times New Roman"/>
        </w:rPr>
        <w:t xml:space="preserve"> to 0.12. This is a local robustness envelope around the published representative set, not a statistical sample. For every point we calculate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rPr>
        <w:t xml:space="preserve">, the soft-mode wavevector, and the one-magnon bandwidth along </w:t>
      </w:r>
      <m:oMath>
        <m:d>
          <m:dPr>
            <m:ctrlPr>
              <w:rPr>
                <w:rFonts w:ascii="Cambria Math" w:hAnsi="Cambria Math"/>
              </w:rPr>
            </m:ctrlPr>
          </m:dPr>
          <m:e>
            <m:r>
              <m:rPr>
                <m:sty m:val="p"/>
              </m:rPr>
              <w:rPr>
                <w:rFonts w:ascii="Cambria Math" w:hAnsi="Cambria Math"/>
              </w:rPr>
              <m:t>00l</m:t>
            </m:r>
          </m:e>
        </m:d>
      </m:oMath>
      <w:r>
        <w:rPr>
          <w:rFonts w:eastAsia="Times New Roman" w:cs="Times New Roman"/>
        </w:rPr>
        <w:t>. To reduce optimizer-seed false negative</w:t>
      </w:r>
      <w:r>
        <w:rPr>
          <w:rFonts w:eastAsia="Times New Roman" w:cs="Times New Roman"/>
        </w:rPr>
        <w:t>s, each soft-mode search uses the point-specific seed and two fixed independent seeds and retains the solution with the largest critical field, corresponding to the first mode to soften as the field is lowered. A model is retained only if its soft mode lie</w:t>
      </w:r>
      <w:r>
        <w:rPr>
          <w:rFonts w:eastAsia="Times New Roman" w:cs="Times New Roman"/>
        </w:rPr>
        <w:t xml:space="preserve">s on the K–M line within 0.003 reciprocal-lattice units, its in-plane incommensuration lies in 0.021–0.033, and its folded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oMath>
      <w:r>
        <w:rPr>
          <w:rFonts w:eastAsia="Times New Roman" w:cs="Times New Roman"/>
        </w:rPr>
        <w:t xml:space="preserve"> lies in 0.322–0.3373. These bands span the public 65 mK values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r>
          <m:rPr>
            <m:sty m:val="p"/>
          </m:rPr>
          <w:rPr>
            <w:rFonts w:ascii="Cambria Math" w:hAnsi="Cambria Math"/>
          </w:rPr>
          <m:t>=0.027</m:t>
        </m:r>
        <m:d>
          <m:dPr>
            <m:ctrlPr>
              <w:rPr>
                <w:rFonts w:ascii="Cambria Math" w:hAnsi="Cambria Math"/>
              </w:rPr>
            </m:ctrlPr>
          </m:dPr>
          <m:e>
            <m:r>
              <m:rPr>
                <m:sty m:val="p"/>
              </m:rPr>
              <w:rPr>
                <w:rFonts w:ascii="Cambria Math" w:hAnsi="Cambria Math"/>
              </w:rPr>
              <m:t>2</m:t>
            </m:r>
          </m:e>
        </m:d>
      </m:oMath>
      <w:r>
        <w:rPr>
          <w:rFonts w:eastAsia="Times New Roman" w:cs="Times New Roman"/>
        </w:rPr>
        <w:t xml:space="preserve"> and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r>
          <m:rPr>
            <m:sty m:val="p"/>
          </m:rPr>
          <w:rPr>
            <w:rFonts w:ascii="Cambria Math" w:hAnsi="Cambria Math"/>
          </w:rPr>
          <m:t>=0.328</m:t>
        </m:r>
        <m:d>
          <m:dPr>
            <m:ctrlPr>
              <w:rPr>
                <w:rFonts w:ascii="Cambria Math" w:hAnsi="Cambria Math"/>
              </w:rPr>
            </m:ctrlPr>
          </m:dPr>
          <m:e>
            <m:r>
              <m:rPr>
                <m:sty m:val="p"/>
              </m:rPr>
              <w:rPr>
                <w:rFonts w:ascii="Cambria Math" w:hAnsi="Cambria Math"/>
              </w:rPr>
              <m:t>2</m:t>
            </m:r>
          </m:e>
        </m:d>
      </m:oMath>
      <w:r>
        <w:rPr>
          <w:rFonts w:eastAsia="Times New Roman" w:cs="Times New Roman"/>
        </w:rPr>
        <w:t xml:space="preserve"> and the source model's documen</w:t>
      </w:r>
      <w:r>
        <w:rPr>
          <w:rFonts w:eastAsia="Times New Roman" w:cs="Times New Roman"/>
        </w:rPr>
        <w:t xml:space="preserve">ted replacement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rFonts w:eastAsia="Times New Roman" w:cs="Times New Roman"/>
        </w:rPr>
        <w:t>.</w:t>
      </w:r>
    </w:p>
    <w:p w14:paraId="76D54FEE" w14:textId="77777777" w:rsidR="00FE5CF5" w:rsidRDefault="00F3169B">
      <w:pPr>
        <w:jc w:val="both"/>
      </w:pPr>
      <w:r>
        <w:rPr>
          <w:rFonts w:eastAsia="Times New Roman" w:cs="Times New Roman"/>
        </w:rPr>
        <w:t>Because retained points touch several grid edges, we add an outward-boundary audit. For each retained edge point, one parameter at a time is moved one grid step beyond the original range while all other parameters remain fixed. T</w:t>
      </w:r>
      <w:r>
        <w:rPr>
          <w:rFonts w:eastAsia="Times New Roman" w:cs="Times New Roman"/>
        </w:rPr>
        <w:t>he 18 unique extensions test (J₂=0) or 5.6 microelectronvolt, (J_a=\pm4.2) microelectronvolt, (J_b=1.975) or 13.825 microelectronvolt, and (Δ_c=0.02) or 0.14 as applicable. This detects a retained set that simply continues through an original face; it is n</w:t>
      </w:r>
      <w:r>
        <w:rPr>
          <w:rFonts w:eastAsia="Times New Roman" w:cs="Times New Roman"/>
        </w:rPr>
        <w:t>ot a full enlarged grid and cannot exclude a disconnected admissible region.</w:t>
      </w:r>
    </w:p>
    <w:p w14:paraId="70685831" w14:textId="77777777" w:rsidR="00FE5CF5" w:rsidRDefault="00F3169B">
      <w:pPr>
        <w:jc w:val="both"/>
      </w:pPr>
      <w:r>
        <w:rPr>
          <w:rFonts w:eastAsia="Times New Roman" w:cs="Times New Roman"/>
        </w:rPr>
        <w:t>We then test simultaneous parameter changes with a scrambled deterministic Sobol design of 256 points over a broader hyperrectangle: (J₂=0)–5.6 microelectronvolt, (J_a=-4.2)–4.2 m</w:t>
      </w:r>
      <w:r>
        <w:rPr>
          <w:rFonts w:eastAsia="Times New Roman" w:cs="Times New Roman"/>
        </w:rPr>
        <w:t>icroelectronvolt, (J_b=1.975)–13.825 microelectronvolt, and (Δ_c=0.02)–0.14. This low-discrepancy design can find admissible combinations outside or between the Cartesian grid lines at a fixed computational cost. It is a finite stress design, not a probabi</w:t>
      </w:r>
      <w:r>
        <w:rPr>
          <w:rFonts w:eastAsia="Times New Roman" w:cs="Times New Roman"/>
        </w:rPr>
        <w:t>lity distribution, and cannot prove global exhaustion of the continuous parameter space.</w:t>
      </w:r>
    </w:p>
    <w:p w14:paraId="6E0C3E05" w14:textId="77777777" w:rsidR="00FE5CF5" w:rsidRDefault="00F3169B">
      <w:pPr>
        <w:jc w:val="both"/>
      </w:pPr>
      <w:r>
        <w:rPr>
          <w:rFonts w:eastAsia="Times New Roman" w:cs="Times New Roman"/>
        </w:rPr>
        <w:t>Because the two finite designs can still miss narrow or disconnected admissible regions, we add three adaptive rounds of 64 exact M4 evaluations. In each round, a radi</w:t>
      </w:r>
      <w:r>
        <w:rPr>
          <w:rFonts w:eastAsia="Times New Roman" w:cs="Times New Roman"/>
        </w:rPr>
        <w:t>al-basis surrogate built from all completed calculations ranks a scrambled 32,768-point pool for proximity to the public-(q) boundary, predicted minimum and maximum critical-field shifts, predicted feasible-set coverage, and distance from previous evaluati</w:t>
      </w:r>
      <w:r>
        <w:rPr>
          <w:rFonts w:eastAsia="Times New Roman" w:cs="Times New Roman"/>
        </w:rPr>
        <w:t>ons. The surrogate only chooses coordinates. Every reported observable and feasibility label is recomputed by the original three-start M4 calculation. The final minimum- and maximum-shift models are then repeated with five new optimizer seeds. This is an a</w:t>
      </w:r>
      <w:r>
        <w:rPr>
          <w:rFonts w:eastAsia="Times New Roman" w:cs="Times New Roman"/>
        </w:rPr>
        <w:t>daptive set-valued stress audit, not a posterior distribution or a proof that the continuous box is exhausted.</w:t>
      </w:r>
    </w:p>
    <w:p w14:paraId="66B42725" w14:textId="77777777" w:rsidR="00FE5CF5" w:rsidRDefault="00F3169B">
      <w:pPr>
        <w:jc w:val="both"/>
      </w:pPr>
      <w:r>
        <w:rPr>
          <w:rFonts w:eastAsia="Times New Roman" w:cs="Times New Roman"/>
        </w:rPr>
        <w:t>The retention screen uses only the near-saturation propagation vector. We therefore reconstruct the source paper's fixed-length fan ansatz for ev</w:t>
      </w:r>
      <w:r>
        <w:rPr>
          <w:rFonts w:eastAsia="Times New Roman" w:cs="Times New Roman"/>
        </w:rPr>
        <w:t>ery retained model and score the four lower-field diffraction points at 1.45, 1.50, 1.55, and 1.60 T, which were not used for retention. For each reduced field, the fan amplitude and incommensuration are minimized with the same M4 Fourier coupling; the 1.6</w:t>
      </w:r>
      <w:r>
        <w:rPr>
          <w:rFonts w:eastAsia="Times New Roman" w:cs="Times New Roman"/>
        </w:rPr>
        <w:t>5 T endpoint is reserved for an internal check against the independently optimized soft mode. The public points are digitized from the source-vector figure. Their curve score is a deterministic holdout diagnostic, not a likelihood or confidence interval.</w:t>
      </w:r>
    </w:p>
    <w:p w14:paraId="284EB4D9" w14:textId="7B78E71A" w:rsidR="00FE5CF5" w:rsidRDefault="00F3169B">
      <w:pPr>
        <w:jc w:val="both"/>
      </w:pPr>
      <w:r>
        <w:rPr>
          <w:rFonts w:eastAsia="Times New Roman" w:cs="Times New Roman"/>
        </w:rPr>
        <w:t>W</w:t>
      </w:r>
      <w:r>
        <w:rPr>
          <w:rFonts w:eastAsia="Times New Roman" w:cs="Times New Roman"/>
        </w:rPr>
        <w:t xml:space="preserve">e add a second, independent holdout from the public transverse-field INS archive [17]. At 3.5 T along </w:t>
      </w:r>
      <m:oMath>
        <m:d>
          <m:dPr>
            <m:ctrlPr>
              <w:rPr>
                <w:rFonts w:ascii="Cambria Math" w:hAnsi="Cambria Math"/>
              </w:rPr>
            </m:ctrlPr>
          </m:dPr>
          <m:e>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2</m:t>
                    </m:r>
                  </m:num>
                  <m:den>
                    <m:r>
                      <m:rPr>
                        <m:sty m:val="p"/>
                      </m:rPr>
                      <w:rPr>
                        <w:rFonts w:ascii="Cambria Math" w:hAnsi="Cambria Math"/>
                      </w:rPr>
                      <m:t>3,1</m:t>
                    </m:r>
                  </m:den>
                </m:f>
              </m:num>
              <m:den>
                <m:r>
                  <m:rPr>
                    <m:sty m:val="p"/>
                  </m:rPr>
                  <w:rPr>
                    <w:rFonts w:ascii="Cambria Math" w:hAnsi="Cambria Math"/>
                  </w:rPr>
                  <m:t>3</m:t>
                </m:r>
              </m:den>
            </m:f>
            <m:r>
              <m:rPr>
                <m:sty m:val="p"/>
              </m:rPr>
              <w:rPr>
                <w:rFonts w:ascii="Cambria Math" w:hAnsi="Cambria Math"/>
              </w:rPr>
              <m:t>,l</m:t>
            </m:r>
          </m:e>
        </m:d>
      </m:oMath>
      <w:r>
        <w:rPr>
          <w:rFonts w:eastAsia="Times New Roman" w:cs="Times New Roman"/>
        </w:rPr>
        <w:t xml:space="preserve">, the source reports no resolved energy modulation and uses a simplified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=3</m:t>
        </m:r>
      </m:oMath>
      <w:r>
        <w:rPr>
          <w:rFonts w:eastAsia="Times New Roman" w:cs="Times New Roman"/>
        </w:rPr>
        <w:t xml:space="preserve"> microelectronvolt model as an indicative upper bound. Its two</w:t>
      </w:r>
      <w:r>
        <w:rPr>
          <w:rFonts w:eastAsia="Times New Roman" w:cs="Times New Roman"/>
        </w:rPr>
        <w:t xml:space="preserve"> public calculated twin branches each span 18.048 microelectronvolt. We reproduce those branches from the source LSWT equations, map the path to the M4 reciprocal convention, and calculate the maximum bandwidth over two structural-domain K paths for every </w:t>
      </w:r>
      <w:r>
        <w:rPr>
          <w:rFonts w:eastAsia="Times New Roman" w:cs="Times New Roman"/>
        </w:rPr>
        <w:t xml:space="preserve">retained model. The quoted one-standard-deviation errors of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z</m:t>
            </m:r>
          </m:sub>
        </m:sSub>
      </m:oMath>
      <w:r>
        <w:rPr>
          <w:rFonts w:eastAsia="Times New Roman" w:cs="Times New Roman"/>
        </w:rPr>
        <w:t xml:space="preserve">,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xy</m:t>
            </m:r>
          </m:sub>
        </m:sSub>
      </m:oMath>
      <w:r>
        <w:rPr>
          <w:rFonts w:eastAsia="Times New Roman" w:cs="Times New Roman"/>
        </w:rPr>
        <w:t xml:space="preserve">, and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ab</m:t>
            </m:r>
          </m:sub>
        </m:sSub>
      </m:oMath>
      <w:r>
        <w:rPr>
          <w:rFonts w:eastAsia="Times New Roman" w:cs="Times New Roman"/>
        </w:rPr>
        <w:t xml:space="preserve"> are propagated through all eight corners. The 18.048 microelectronvolt value is used only as an external sensitivity threshold. We then test the stronger interpretation d</w:t>
      </w:r>
      <w:r>
        <w:rPr>
          <w:rFonts w:eastAsia="Times New Roman" w:cs="Times New Roman"/>
        </w:rPr>
        <w:t xml:space="preserve">irectly against the 11 archived linewidth values. The source linewidth curve is reproduced by </w:t>
      </w:r>
      <m:oMath>
        <m:sSup>
          <m:sSupPr>
            <m:ctrlPr>
              <w:rPr>
                <w:rFonts w:ascii="Cambria Math" w:hAnsi="Cambria Math"/>
              </w:rPr>
            </m:ctrlPr>
          </m:sSupPr>
          <m:e>
            <m:r>
              <m:rPr>
                <m:sty m:val="p"/>
              </m:rPr>
              <w:rPr>
                <w:rFonts w:ascii="Cambria Math" w:hAnsi="Cambria Math"/>
              </w:rPr>
              <m:t>w</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+c</m:t>
        </m:r>
        <m:sSup>
          <m:sSupPr>
            <m:ctrlPr>
              <w:rPr>
                <w:rFonts w:ascii="Cambria Math" w:hAnsi="Cambria Math"/>
              </w:rPr>
            </m:ctrlPr>
          </m:sSupPr>
          <m:e>
            <m:d>
              <m:dPr>
                <m:ctrlPr>
                  <w:rPr>
                    <w:rFonts w:ascii="Cambria Math" w:hAnsi="Cambria Math"/>
                  </w:rPr>
                </m:ctrlPr>
              </m:dPr>
              <m:e>
                <m:r>
                  <m:rPr>
                    <m:sty m:val="p"/>
                  </m:rPr>
                  <w:rPr>
                    <w:rFonts w:ascii="Cambria Math" w:hAnsi="Cambria Math"/>
                  </w:rPr>
                  <m:t>Δ E</m:t>
                </m:r>
              </m:e>
            </m:d>
          </m:e>
          <m:sup>
            <m:r>
              <m:rPr>
                <m:sty m:val="p"/>
              </m:rPr>
              <w:rPr>
                <w:rFonts w:ascii="Cambria Math" w:hAnsi="Cambria Math"/>
              </w:rPr>
              <m:t>2</m:t>
            </m:r>
          </m:sup>
        </m:sSup>
      </m:oMath>
      <w:r>
        <w:rPr>
          <w:rFonts w:eastAsia="Times New Roman" w:cs="Times New Roman"/>
        </w:rPr>
        <w:t xml:space="preserve">, where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0</m:t>
            </m:r>
          </m:sub>
        </m:sSub>
        <m:r>
          <m:rPr>
            <m:sty m:val="p"/>
          </m:rPr>
          <w:rPr>
            <w:rFonts w:ascii="Cambria Math" w:hAnsi="Cambria Math"/>
          </w:rPr>
          <m:t>=0.027</m:t>
        </m:r>
      </m:oMath>
      <w:r>
        <w:rPr>
          <w:rFonts w:eastAsia="Times New Roman" w:cs="Times New Roman"/>
        </w:rPr>
        <w:t xml:space="preserve"> meV and </w:t>
      </w:r>
      <m:oMath>
        <m:r>
          <m:rPr>
            <m:sty m:val="p"/>
          </m:rPr>
          <w:rPr>
            <w:rFonts w:ascii="Cambria Math" w:hAnsi="Cambria Math"/>
          </w:rPr>
          <m:t>Δ E</m:t>
        </m:r>
      </m:oMath>
      <w:r>
        <w:rPr>
          <w:rFonts w:eastAsia="Times New Roman" w:cs="Times New Roman"/>
        </w:rPr>
        <w:t xml:space="preserve"> is the unresolved twin-branch separation; the proxy has 0.000141 meV root-mean-square error relative to </w:t>
      </w:r>
      <w:r>
        <w:rPr>
          <w:rFonts w:eastAsia="Times New Roman" w:cs="Times New Roman"/>
        </w:rPr>
        <w:t xml:space="preserve">the archived calculation. For each M4 model, </w:t>
      </w:r>
      <m:oMath>
        <m:r>
          <m:rPr>
            <m:sty m:val="p"/>
          </m:rPr>
          <w:rPr>
            <w:rFonts w:ascii="Cambria Math" w:hAnsi="Cambria Math"/>
          </w:rPr>
          <m:t>c</m:t>
        </m:r>
      </m:oMath>
      <w:r>
        <w:rPr>
          <w:rFonts w:eastAsia="Times New Roman" w:cs="Times New Roman"/>
        </w:rPr>
        <w:t xml:space="preserve"> is profiled between the single-domain and source equal-twin limits. This nuisance audit asks whether the measured linewidth actually supports the bandwidth screen; it is not used to manufacture a confidence se</w:t>
      </w:r>
      <w:r>
        <w:rPr>
          <w:rFonts w:eastAsia="Times New Roman" w:cs="Times New Roman"/>
        </w:rPr>
        <w:t>t.</w:t>
      </w:r>
    </w:p>
    <w:p w14:paraId="6E7CACB7" w14:textId="77777777" w:rsidR="00FE5CF5" w:rsidRDefault="00F3169B">
      <w:pPr>
        <w:pStyle w:val="21"/>
      </w:pPr>
      <w:r>
        <w:rPr>
          <w:rFonts w:ascii="Times New Roman" w:eastAsia="Times New Roman" w:hAnsi="Times New Roman" w:cs="Times New Roman"/>
        </w:rPr>
        <w:t>D. Robust operating fields and conditional sizing</w:t>
      </w:r>
    </w:p>
    <w:p w14:paraId="3FFAD80D" w14:textId="77777777" w:rsidR="00FE5CF5" w:rsidRDefault="00F3169B">
      <w:pPr>
        <w:jc w:val="both"/>
      </w:pPr>
      <w:r>
        <w:rPr>
          <w:rFonts w:eastAsia="Times New Roman" w:cs="Times New Roman"/>
        </w:rPr>
        <w:t xml:space="preserve">For a scenario set </w:t>
      </w:r>
      <m:oMath>
        <m:r>
          <m:rPr>
            <m:sty m:val="p"/>
          </m:rPr>
          <w:rPr>
            <w:rFonts w:ascii="Cambria Math" w:hAnsi="Cambria Math"/>
          </w:rPr>
          <m:t>Theta</m:t>
        </m:r>
      </m:oMath>
      <w:r>
        <w:rPr>
          <w:rFonts w:eastAsia="Times New Roman" w:cs="Times New Roman"/>
        </w:rPr>
        <w:t>, the robust field minimizes the worst regret,</w:t>
      </w:r>
    </w:p>
    <w:p w14:paraId="153F3009" w14:textId="71B97F1B" w:rsidR="00FE5CF5" w:rsidRDefault="00F3169B">
      <w:pPr>
        <w:keepLines/>
        <w:spacing w:before="60" w:after="100"/>
        <w:jc w:val="cente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rm robust</m:t>
              </m:r>
            </m:sub>
          </m:sSub>
          <m:r>
            <m:rPr>
              <m:sty m:val="p"/>
            </m:rPr>
            <w:rPr>
              <w:rFonts w:ascii="Cambria Math" w:hAnsi="Cambria Math"/>
            </w:rPr>
            <m:t>=</m:t>
          </m:r>
          <m:func>
            <m:funcPr>
              <m:ctrlPr>
                <w:rPr>
                  <w:rFonts w:ascii="Cambria Math" w:hAnsi="Cambria Math"/>
                </w:rPr>
              </m:ctrlPr>
            </m:funcPr>
            <m:fName>
              <m:sSub>
                <m:sSubPr>
                  <m:ctrlPr>
                    <w:rPr>
                      <w:rFonts w:ascii="Cambria Math" w:hAnsi="Cambria Math"/>
                    </w:rPr>
                  </m:ctrlPr>
                </m:sSubPr>
                <m:e>
                  <m:sSub>
                    <m:sSubPr>
                      <m:ctrlPr>
                        <w:rPr>
                          <w:rFonts w:ascii="Cambria Math" w:hAnsi="Cambria Math"/>
                        </w:rPr>
                      </m:ctrlPr>
                    </m:sSubPr>
                    <m:e>
                      <m:r>
                        <m:rPr>
                          <m:sty m:val="p"/>
                        </m:rPr>
                        <w:rPr>
                          <w:rFonts w:ascii="Cambria Math" w:hAnsi="Cambria Math"/>
                        </w:rPr>
                        <m:t>argmin</m:t>
                      </m:r>
                    </m:e>
                    <m:sub>
                      <m:d>
                        <m:dPr>
                          <m:ctrlPr>
                            <w:rPr>
                              <w:rFonts w:ascii="Cambria Math" w:hAnsi="Cambria Math"/>
                            </w:rPr>
                          </m:ctrlPr>
                        </m:dPr>
                        <m:e>
                          <m:r>
                            <m:rPr>
                              <m:sty m:val="p"/>
                            </m:rPr>
                            <w:rPr>
                              <w:rFonts w:ascii="Cambria Math" w:hAnsi="Cambria Math"/>
                            </w:rPr>
                            <m:t>B</m:t>
                          </m:r>
                        </m:e>
                      </m:d>
                      <m:r>
                        <m:rPr>
                          <m:sty m:val="p"/>
                        </m:rPr>
                        <w:rPr>
                          <w:rFonts w:ascii="Cambria Math" w:hAnsi="Cambria Math"/>
                        </w:rPr>
                        <m:t>max</m:t>
                      </m:r>
                    </m:sub>
                  </m:sSub>
                </m:e>
                <m:sub>
                  <m:d>
                    <m:dPr>
                      <m:ctrlPr>
                        <w:rPr>
                          <w:rFonts w:ascii="Cambria Math" w:hAnsi="Cambria Math"/>
                        </w:rPr>
                      </m:ctrlPr>
                    </m:dPr>
                    <m:e>
                      <m:r>
                        <m:rPr>
                          <m:sty m:val="p"/>
                        </m:rPr>
                        <w:rPr>
                          <w:rFonts w:ascii="Cambria Math" w:hAnsi="Cambria Math"/>
                        </w:rPr>
                        <m:t>θ∈Theta</m:t>
                      </m:r>
                    </m:e>
                  </m:d>
                  <m:r>
                    <m:rPr>
                      <m:sty m:val="p"/>
                    </m:rPr>
                    <w:rPr>
                      <w:rFonts w:ascii="Cambria Math" w:hAnsi="Cambria Math"/>
                    </w:rPr>
                    <m:t>R</m:t>
                  </m:r>
                  <m:d>
                    <m:dPr>
                      <m:ctrlPr>
                        <w:rPr>
                          <w:rFonts w:ascii="Cambria Math" w:hAnsi="Cambria Math"/>
                        </w:rPr>
                      </m:ctrlPr>
                    </m:dPr>
                    <m:e>
                      <m:r>
                        <m:rPr>
                          <m:sty m:val="p"/>
                        </m:rPr>
                        <w:rPr>
                          <w:rFonts w:ascii="Cambria Math" w:hAnsi="Cambria Math"/>
                        </w:rPr>
                        <m:t>B;θ</m:t>
                      </m:r>
                    </m:e>
                  </m:d>
                </m:sub>
              </m:sSub>
            </m:fName>
            <m:e>
              <m:ctrlPr>
                <w:rPr>
                  <w:rFonts w:ascii="Cambria Math" w:hAnsi="Cambria Math"/>
                  <w:i/>
                </w:rPr>
              </m:ctrlPr>
            </m:e>
          </m:func>
          <m:r>
            <m:rPr>
              <m:sty m:val="p"/>
            </m:rPr>
            <w:rPr>
              <w:rFonts w:ascii="Cambria Math" w:hAnsi="Cambria Math"/>
            </w:rPr>
            <m:t>.</m:t>
          </m:r>
        </m:oMath>
      </m:oMathPara>
    </w:p>
    <w:p w14:paraId="34227D6C" w14:textId="403212A2" w:rsidR="00FE5CF5" w:rsidRDefault="00F3169B">
      <w:pPr>
        <w:jc w:val="both"/>
      </w:pPr>
      <w:r>
        <w:rPr>
          <w:rFonts w:eastAsia="Times New Roman" w:cs="Times New Roman"/>
        </w:rPr>
        <w:t>We distinguish three scenario sets. The central set contains the measured 1.65 and 1.70</w:t>
      </w:r>
      <w:r>
        <w:rPr>
          <w:rFonts w:eastAsia="Times New Roman" w:cs="Times New Roman"/>
        </w:rPr>
        <w:t xml:space="preserve"> T critical fields and the two transport mappings. The model set adds every public-</w:t>
      </w:r>
      <m:oMath>
        <m:r>
          <m:rPr>
            <m:sty m:val="p"/>
          </m:rPr>
          <w:rPr>
            <w:rFonts w:ascii="Cambria Math" w:hAnsi="Cambria Math"/>
          </w:rPr>
          <m:t>q</m:t>
        </m:r>
      </m:oMath>
      <w:r>
        <w:rPr>
          <w:rFonts w:eastAsia="Times New Roman" w:cs="Times New Roman"/>
        </w:rPr>
        <w:t xml:space="preserve">-constrained interlayer Hamiltonian. The calibrated finite-temperature set comes from direct M3 and M4 finite-temperature Lanczos calculations on a periodic </w:t>
      </w:r>
      <m:oMath>
        <m:r>
          <m:rPr>
            <m:sty m:val="p"/>
          </m:rPr>
          <w:rPr>
            <w:rFonts w:ascii="Cambria Math" w:hAnsi="Cambria Math"/>
          </w:rPr>
          <m:t>3×2×2</m:t>
        </m:r>
      </m:oMath>
      <w:r>
        <w:rPr>
          <w:rFonts w:eastAsia="Times New Roman" w:cs="Times New Roman"/>
        </w:rPr>
        <w:t xml:space="preserve">, </w:t>
      </w:r>
      <m:oMath>
        <m:r>
          <m:rPr>
            <m:sty m:val="p"/>
          </m:rPr>
          <w:rPr>
            <w:rFonts w:ascii="Cambria Math" w:hAnsi="Cambria Math"/>
          </w:rPr>
          <m:t>N=12</m:t>
        </m:r>
      </m:oMath>
      <w:r>
        <w:rPr>
          <w:rFonts w:eastAsia="Times New Roman" w:cs="Times New Roman"/>
        </w:rPr>
        <w:t xml:space="preserve"> sta</w:t>
      </w:r>
      <w:r>
        <w:rPr>
          <w:rFonts w:eastAsia="Times New Roman" w:cs="Times New Roman"/>
        </w:rPr>
        <w:t xml:space="preserve">cked cluster. Twelve retained M4 models are selected by deterministic farthest-point coverage in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oMath>
      <w:r>
        <w:rPr>
          <w:rFonts w:eastAsia="Times New Roman" w:cs="Times New Roman"/>
        </w:rPr>
        <w:t xml:space="preserve"> and bulk critical-field shift. Each model supplies one correlated residual peak shift, heat ratio, and pair of left/right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rPr>
        <w:t xml:space="preserve"> width </w:t>
      </w:r>
      <w:r>
        <w:rPr>
          <w:rFonts w:eastAsia="Times New Roman" w:cs="Times New Roman"/>
        </w:rPr>
        <w:t xml:space="preserve">ratios at 90, 100, 120, and 150 mK. Five smoothing levels control field-grid roughness. The strongest 90 mK deformation is replaced by a three-seed common-random-number verification using eight trace vectors, 60 Lanczos steps, and 12 exact low states. The </w:t>
      </w:r>
      <w:r>
        <w:rPr>
          <w:rFonts w:eastAsia="Times New Roman" w:cs="Times New Roman"/>
        </w:rPr>
        <w:t>69 retained bulk models are assigned their nearest coverage template in normalized parameter space. These deterministic templates are sensitivities, not probabilities or a converged bulk M4 thermodynamic solution. An independent Cartesian combination of al</w:t>
      </w:r>
      <w:r>
        <w:rPr>
          <w:rFonts w:eastAsia="Times New Roman" w:cs="Times New Roman"/>
        </w:rPr>
        <w:t>l coordinate extrema is retained only as an adversarial destruction test.</w:t>
      </w:r>
    </w:p>
    <w:p w14:paraId="2A325BE5" w14:textId="70D0F6A0" w:rsidR="00FE5CF5" w:rsidRDefault="00F3169B">
      <w:pPr>
        <w:jc w:val="both"/>
      </w:pPr>
      <w:r>
        <w:rPr>
          <w:rFonts w:eastAsia="Times New Roman" w:cs="Times New Roman"/>
        </w:rPr>
        <w:t xml:space="preserve">We convert the 52 N=12-calibrated scenarios into a robust measurement-design problem without assigning probabilities. For a proposed heat measurement </w:t>
      </w:r>
      <m:oMath>
        <m:r>
          <m:rPr>
            <m:sty m:val="p"/>
          </m:rPr>
          <w:rPr>
            <w:rFonts w:ascii="Cambria Math" w:hAnsi="Cambria Math"/>
          </w:rPr>
          <m:t>x=</m:t>
        </m:r>
        <m:d>
          <m:dPr>
            <m:ctrlPr>
              <w:rPr>
                <w:rFonts w:ascii="Cambria Math" w:hAnsi="Cambria Math"/>
              </w:rPr>
            </m:ctrlPr>
          </m:dPr>
          <m:e>
            <m:r>
              <m:rPr>
                <m:sty m:val="p"/>
              </m:rPr>
              <w:rPr>
                <w:rFonts w:ascii="Cambria Math" w:hAnsi="Cambria Math"/>
              </w:rPr>
              <m:t>T,B</m:t>
            </m:r>
          </m:e>
        </m:d>
      </m:oMath>
      <w:r>
        <w:rPr>
          <w:rFonts w:eastAsia="Times New Roman" w:cs="Times New Roman"/>
        </w:rPr>
        <w:t>, the declared per-readin</w:t>
      </w:r>
      <w:r>
        <w:rPr>
          <w:rFonts w:eastAsia="Times New Roman" w:cs="Times New Roman"/>
        </w:rPr>
        <w:t xml:space="preserve">g absolute error is </w:t>
      </w:r>
      <m:oMath>
        <m:sSub>
          <m:sSubPr>
            <m:ctrlPr>
              <w:rPr>
                <w:rFonts w:ascii="Cambria Math" w:hAnsi="Cambria Math"/>
              </w:rPr>
            </m:ctrlPr>
          </m:sSubPr>
          <m:e>
            <m:r>
              <m:rPr>
                <m:sty m:val="p"/>
              </m:rPr>
              <w:rPr>
                <w:rFonts w:ascii="Cambria Math" w:hAnsi="Cambria Math"/>
              </w:rPr>
              <m:t>ε</m:t>
            </m:r>
          </m:e>
          <m:sub>
            <m:r>
              <m:rPr>
                <m:sty m:val="p"/>
              </m:rPr>
              <w:rPr>
                <w:rFonts w:ascii="Cambria Math" w:hAnsi="Cambria Math"/>
              </w:rPr>
              <m:t>T</m:t>
            </m:r>
          </m:sub>
        </m:sSub>
        <m:r>
          <m:rPr>
            <m:sty m:val="p"/>
          </m:rPr>
          <w:rPr>
            <w:rFonts w:ascii="Cambria Math" w:hAnsi="Cambria Math"/>
          </w:rPr>
          <m:t xml:space="preserve">=η </m:t>
        </m:r>
        <m:sSub>
          <m:sSubPr>
            <m:ctrlPr>
              <w:rPr>
                <w:rFonts w:ascii="Cambria Math" w:hAnsi="Cambria Math"/>
              </w:rPr>
            </m:ctrlPr>
          </m:sSubPr>
          <m:e>
            <m:d>
              <m:dPr>
                <m:ctrlPr>
                  <w:rPr>
                    <w:rFonts w:ascii="Cambria Math" w:hAnsi="Cambria Math"/>
                  </w:rPr>
                </m:ctrlPr>
              </m:dPr>
              <m:e>
                <m:r>
                  <m:rPr>
                    <m:sty m:val="p"/>
                  </m:rPr>
                  <w:rPr>
                    <w:rFonts w:ascii="Cambria Math" w:hAnsi="Cambria Math"/>
                  </w:rPr>
                  <m:t>rm median</m:t>
                </m:r>
              </m:e>
            </m:d>
          </m:e>
          <m:sub>
            <m:d>
              <m:dPr>
                <m:ctrlPr>
                  <w:rPr>
                    <w:rFonts w:ascii="Cambria Math" w:hAnsi="Cambria Math"/>
                  </w:rPr>
                </m:ctrlPr>
              </m:dPr>
              <m:e>
                <m:r>
                  <m:rPr>
                    <m:sty m:val="p"/>
                  </m:rPr>
                  <w:rPr>
                    <w:rFonts w:ascii="Cambria Math" w:hAnsi="Cambria Math"/>
                  </w:rPr>
                  <m:t>θ</m:t>
                </m:r>
              </m:e>
            </m:d>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max,θ</m:t>
                    </m:r>
                  </m:e>
                </m:d>
                <m:d>
                  <m:dPr>
                    <m:ctrlPr>
                      <w:rPr>
                        <w:rFonts w:ascii="Cambria Math" w:hAnsi="Cambria Math"/>
                      </w:rPr>
                    </m:ctrlPr>
                  </m:dPr>
                  <m:e>
                    <m:r>
                      <m:rPr>
                        <m:sty m:val="p"/>
                      </m:rPr>
                      <w:rPr>
                        <w:rFonts w:ascii="Cambria Math" w:hAnsi="Cambria Math"/>
                      </w:rPr>
                      <m:t>T</m:t>
                    </m:r>
                  </m:e>
                </m:d>
              </m:sub>
            </m:sSub>
          </m:sub>
        </m:sSub>
      </m:oMath>
      <w:r>
        <w:rPr>
          <w:rFonts w:eastAsia="Times New Roman" w:cs="Times New Roman"/>
        </w:rPr>
        <w:t>. Scenarios remain conservatively indistinguishable when their bounded prediction intervals overlap. The preregistered four-model N=18 cover supplies 16 correlated deformations from four M4 models, two</w:t>
      </w:r>
      <w:r>
        <w:rPr>
          <w:rFonts w:eastAsia="Times New Roman" w:cs="Times New Roman"/>
        </w:rPr>
        <w:t xml:space="preserve"> experimental anchors, and two mappings, producing 68 adversarial scenarios. Its support requires 107 fields from 1.292 to 1.716 T at 0.004 T spacing. At </w:t>
      </w:r>
      <m:oMath>
        <m:r>
          <m:rPr>
            <m:sty m:val="p"/>
          </m:rPr>
          <w:rPr>
            <w:rFonts w:ascii="Cambria Math" w:hAnsi="Cambria Math"/>
          </w:rPr>
          <m:t>η=2.5%</m:t>
        </m:r>
      </m:oMath>
      <w:r>
        <w:rPr>
          <w:rFonts w:eastAsia="Times New Roman" w:cs="Times New Roman"/>
        </w:rPr>
        <w:t>, all 5,671 two-point panels are enumerated. The augmented set is a cluster-size stress test, no</w:t>
      </w:r>
      <w:r>
        <w:rPr>
          <w:rFonts w:eastAsia="Times New Roman" w:cs="Times New Roman"/>
        </w:rPr>
        <w:t>t a probability distribution or a claim that N=18 is bulk.</w:t>
      </w:r>
    </w:p>
    <w:p w14:paraId="68FC3ADA" w14:textId="77777777" w:rsidR="00FE5CF5" w:rsidRDefault="00F3169B">
      <w:pPr>
        <w:jc w:val="both"/>
      </w:pPr>
      <w:r>
        <w:rPr>
          <w:rFonts w:eastAsia="Times New Roman" w:cs="Times New Roman"/>
        </w:rPr>
        <w:t>Material volume for a prescribed magnetic-only hold is</w:t>
      </w:r>
    </w:p>
    <w:p w14:paraId="2F6AB528" w14:textId="4FFF0B95" w:rsidR="00FE5CF5" w:rsidRDefault="00F3169B">
      <w:pPr>
        <w:keepLines/>
        <w:spacing w:before="60" w:after="100"/>
        <w:jc w:val="center"/>
      </w:pPr>
      <m:oMathPara>
        <m:oMath>
          <m:r>
            <m:rPr>
              <m:sty m:val="p"/>
            </m:rPr>
            <w:rPr>
              <w:rFonts w:ascii="Cambria Math" w:hAnsi="Cambria Math"/>
            </w:rPr>
            <m:t>V=frac</m:t>
          </m:r>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d>
                    <m:dPr>
                      <m:ctrlPr>
                        <w:rPr>
                          <w:rFonts w:ascii="Cambria Math" w:hAnsi="Cambria Math"/>
                        </w:rPr>
                      </m:ctrlPr>
                    </m:dPr>
                    <m:e>
                      <m:r>
                        <m:rPr>
                          <m:sty m:val="p"/>
                        </m:rPr>
                        <w:rPr>
                          <w:rFonts w:ascii="Cambria Math" w:hAnsi="Cambria Math"/>
                        </w:rPr>
                        <m:t>rm load</m:t>
                      </m:r>
                    </m:e>
                  </m:d>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hold</m:t>
                      </m:r>
                    </m:sub>
                  </m:sSub>
                </m:sub>
              </m:sSub>
            </m:e>
          </m:d>
          <m:d>
            <m:dPr>
              <m:ctrlPr>
                <w:rPr>
                  <w:rFonts w:ascii="Cambria Math" w:hAnsi="Cambria Math"/>
                </w:rPr>
              </m:ctrlPr>
            </m:dPr>
            <m:e>
              <m:r>
                <m:rPr>
                  <m:sty m:val="p"/>
                </m:rPr>
                <w:rPr>
                  <w:rFonts w:ascii="Cambria Math" w:hAnsi="Cambria Math"/>
                </w:rPr>
                <m:t>Q</m:t>
              </m:r>
            </m:e>
          </m:d>
          <m:r>
            <m:rPr>
              <m:sty m:val="p"/>
            </m:rPr>
            <w:rPr>
              <w:rFonts w:ascii="Cambria Math" w:hAnsi="Cambria Math"/>
            </w:rPr>
            <m:t>,</m:t>
          </m:r>
        </m:oMath>
      </m:oMathPara>
    </w:p>
    <w:p w14:paraId="2BB491F4" w14:textId="77777777" w:rsidR="00FE5CF5" w:rsidRDefault="00F3169B">
      <w:pPr>
        <w:jc w:val="both"/>
      </w:pPr>
      <w:r>
        <w:rPr>
          <w:rFonts w:eastAsia="Times New Roman" w:cs="Times New Roman"/>
        </w:rPr>
        <w:t>with consistent conversion of microWatts, seconds, and millijoules. These volumes exclude nuclear and latti</w:t>
      </w:r>
      <w:r>
        <w:rPr>
          <w:rFonts w:eastAsia="Times New Roman" w:cs="Times New Roman"/>
        </w:rPr>
        <w:t>ce heat capacities, sample holder, wiring, heat switches, contact resistance, and irreversible ramp losses.</w:t>
      </w:r>
    </w:p>
    <w:p w14:paraId="49500FFD" w14:textId="77777777" w:rsidR="00FE5CF5" w:rsidRDefault="00F3169B">
      <w:pPr>
        <w:jc w:val="both"/>
      </w:pPr>
      <w:r>
        <w:rPr>
          <w:rFonts w:eastAsia="Times New Roman" w:cs="Times New Roman"/>
        </w:rPr>
        <w:t>For a stage-level steady-hold sensitivity we separate the specified payload from the parasitic load,</w:t>
      </w:r>
    </w:p>
    <w:p w14:paraId="1F82284A" w14:textId="2878A2EE" w:rsidR="00FE5CF5" w:rsidRDefault="00F3169B">
      <w:pPr>
        <w:keepLines/>
        <w:spacing w:before="60" w:after="100"/>
        <w:jc w:val="center"/>
      </w:pPr>
      <m:oMathPara>
        <m:oMath>
          <m:r>
            <m:rPr>
              <m:sty m:val="p"/>
            </m:rPr>
            <w:rPr>
              <w:rFonts w:ascii="Cambria Math" w:hAnsi="Cambria Math"/>
            </w:rPr>
            <m:t>V=frac</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payload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parasitic</m:t>
                      </m:r>
                    </m:sub>
                  </m:sSub>
                </m:e>
              </m:d>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hold</m:t>
                  </m:r>
                </m:sub>
              </m:sSub>
            </m:e>
          </m:d>
          <m:d>
            <m:dPr>
              <m:ctrlPr>
                <w:rPr>
                  <w:rFonts w:ascii="Cambria Math" w:hAnsi="Cambria Math"/>
                </w:rPr>
              </m:ctrlPr>
            </m:dPr>
            <m:e>
              <m:r>
                <m:rPr>
                  <m:sty m:val="p"/>
                </m:rPr>
                <w:rPr>
                  <w:rFonts w:ascii="Cambria Math" w:hAnsi="Cambria Math"/>
                </w:rPr>
                <m:t>Q</m:t>
              </m:r>
            </m:e>
          </m:d>
          <m:r>
            <m:rPr>
              <m:sty m:val="p"/>
            </m:rPr>
            <w:rPr>
              <w:rFonts w:ascii="Cambria Math" w:hAnsi="Cambria Math"/>
            </w:rPr>
            <m:t>.</m:t>
          </m:r>
        </m:oMath>
      </m:oMathPara>
    </w:p>
    <w:p w14:paraId="5F506E61" w14:textId="38CA92E0" w:rsidR="00FE5CF5" w:rsidRDefault="00F3169B">
      <w:pPr>
        <w:jc w:val="both"/>
      </w:pPr>
      <w:r>
        <w:rPr>
          <w:rFonts w:eastAsia="Times New Roman" w:cs="Times New Roman"/>
        </w:rPr>
        <w:t xml:space="preserve">The corresponding mass multiplier relative to the payload-only lower bound is exactly </w:t>
      </w:r>
      <m:oMath>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parasitic</m:t>
                </m:r>
              </m:sub>
            </m:sSub>
          </m:num>
          <m:den>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payload</m:t>
                </m:r>
              </m:sub>
            </m:sSub>
          </m:den>
        </m:f>
      </m:oMath>
      <w:r>
        <w:rPr>
          <w:rFonts w:eastAsia="Times New Roman" w:cs="Times New Roman"/>
        </w:rPr>
        <w:t xml:space="preserve">. We sweep this load explicitly instead of assigning NBCP a generic parasitic value. Three published systems are </w:t>
      </w:r>
      <w:r>
        <w:rPr>
          <w:rFonts w:eastAsia="Times New Roman" w:cs="Times New Roman"/>
        </w:rPr>
        <w:t>retained only as contextual anchors: approximately 0.20 microWatt at 20–25 mK in a compact cADR, 0.97 microWatt at 100 mK in the MSAM/Tophat FAA ADR, and 13.14 microWatt at 200 mK in a miniature CPA ADR [14–16]. Their architectures, temperatures, refrigera</w:t>
      </w:r>
      <w:r>
        <w:rPr>
          <w:rFonts w:eastAsia="Times New Roman" w:cs="Times New Roman"/>
        </w:rPr>
        <w:t>nts, and interfaces differ. Transient addenda, regeneration heat, and ramp losses require a cycle model and are not folded into a fabricated steady-load number.</w:t>
      </w:r>
    </w:p>
    <w:p w14:paraId="2BA774BA" w14:textId="75666898" w:rsidR="00FE5CF5" w:rsidRDefault="00F3169B">
      <w:pPr>
        <w:jc w:val="both"/>
      </w:pPr>
      <w:r>
        <w:rPr>
          <w:rFonts w:eastAsia="Times New Roman" w:cs="Times New Roman"/>
        </w:rPr>
        <w:t>Because no NBCP package exists, we expose rather than infer the transient budget. If addenda, r</w:t>
      </w:r>
      <w:r>
        <w:rPr>
          <w:rFonts w:eastAsia="Times New Roman" w:cs="Times New Roman"/>
        </w:rPr>
        <w:t xml:space="preserve">amp, and heat-switch losses consume a declared fraction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rm tr</m:t>
            </m:r>
          </m:sub>
        </m:sSub>
        <m:r>
          <m:rPr>
            <m:sty m:val="p"/>
          </m:rPr>
          <w:rPr>
            <w:rFonts w:ascii="Cambria Math" w:hAnsi="Cambria Math"/>
          </w:rPr>
          <m:t>&lt;1</m:t>
        </m:r>
      </m:oMath>
      <w:r>
        <w:rPr>
          <w:rFonts w:eastAsia="Times New Roman" w:cs="Times New Roman"/>
        </w:rPr>
        <w:t xml:space="preserve"> of gross magnetic capacity, then</w:t>
      </w:r>
    </w:p>
    <w:p w14:paraId="5235D637" w14:textId="614A2BF1" w:rsidR="00FE5CF5" w:rsidRDefault="00F3169B">
      <w:pPr>
        <w:keepLines/>
        <w:spacing w:before="60" w:after="100"/>
        <w:jc w:val="center"/>
      </w:pPr>
      <m:oMathPara>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rm hold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payload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parasitic</m:t>
                  </m:r>
                </m:sub>
              </m:sSub>
            </m:e>
          </m:d>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hold</m:t>
              </m:r>
            </m:sub>
          </m:sSub>
          <m:r>
            <m:rPr>
              <m:sty m:val="p"/>
            </m:rPr>
            <w:rPr>
              <w:rFonts w:ascii="Cambria Math" w:hAnsi="Cambria Math"/>
            </w:rPr>
            <m:t>, V=frac</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rm hold</m:t>
                  </m:r>
                </m:sub>
              </m:sSub>
            </m:e>
          </m:d>
          <m:d>
            <m:dPr>
              <m:ctrlPr>
                <w:rPr>
                  <w:rFonts w:ascii="Cambria Math" w:hAnsi="Cambria Math"/>
                </w:rPr>
              </m:ctrlPr>
            </m:d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rm tr</m:t>
                      </m:r>
                    </m:sub>
                  </m:sSub>
                </m:e>
              </m:d>
              <m:r>
                <m:rPr>
                  <m:sty m:val="p"/>
                </m:rPr>
                <w:rPr>
                  <w:rFonts w:ascii="Cambria Math" w:hAnsi="Cambria Math"/>
                </w:rPr>
                <m:t>Q</m:t>
              </m:r>
            </m:e>
          </m:d>
          <m:r>
            <m:rPr>
              <m:sty m:val="p"/>
            </m:rPr>
            <w:rPr>
              <w:rFonts w:ascii="Cambria Math" w:hAnsi="Cambria Math"/>
            </w:rPr>
            <m:t>.</m:t>
          </m:r>
        </m:oMath>
      </m:oMathPara>
    </w:p>
    <w:p w14:paraId="7667E33B" w14:textId="69AACA17" w:rsidR="00FE5CF5" w:rsidRDefault="00F3169B">
      <w:pPr>
        <w:jc w:val="both"/>
      </w:pPr>
      <w:r>
        <w:rPr>
          <w:rFonts w:eastAsia="Times New Roman" w:cs="Times New Roman"/>
        </w:rPr>
        <w:t xml:space="preserve">The single-stage timing consequence is </w:t>
      </w:r>
      <m:oMath>
        <m:r>
          <m:rPr>
            <m:sty m:val="p"/>
          </m:rPr>
          <w:rPr>
            <w:rFonts w:ascii="Cambria Math" w:hAnsi="Cambria Math"/>
          </w:rPr>
          <m:t>D=</m:t>
        </m:r>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hold</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hold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recycle</m:t>
                </m:r>
              </m:sub>
            </m:sSub>
          </m:den>
        </m:f>
      </m:oMath>
      <w:r>
        <w:rPr>
          <w:rFonts w:eastAsia="Times New Roman" w:cs="Times New Roman"/>
        </w:rPr>
        <w:t>. We use total transient coordinates of 0%, 10%, 25%, and 50%, with explicit bookkeeping allocations among addenda, ramp, and switching. They are deterministic margins, not measured efficiencies or a probability distribution. An 82 s m</w:t>
      </w:r>
      <w:r>
        <w:rPr>
          <w:rFonts w:eastAsia="Times New Roman" w:cs="Times New Roman"/>
        </w:rPr>
        <w:t>easured complete recycle and the midpoint of a published 6–7 min target range provide public timing anchors [16]; 30 and 60 min recycle times are declared stresses. Warm-side heat rejection is not inferred from the cold budget.</w:t>
      </w:r>
    </w:p>
    <w:p w14:paraId="0A8533D1" w14:textId="5253A2C8" w:rsidR="00FE5CF5" w:rsidRDefault="00F3169B">
      <w:pPr>
        <w:jc w:val="both"/>
      </w:pPr>
      <w:r>
        <w:rPr>
          <w:rFonts w:eastAsia="Times New Roman" w:cs="Times New Roman"/>
        </w:rPr>
        <w:t>Mass is obtained from a crys</w:t>
      </w:r>
      <w:r>
        <w:rPr>
          <w:rFonts w:eastAsia="Times New Roman" w:cs="Times New Roman"/>
        </w:rPr>
        <w:t>tallographic density of 4.206 g cm</w:t>
      </w:r>
      <m:oMath>
        <m:sSup>
          <m:sSupPr>
            <m:ctrlPr>
              <w:rPr>
                <w:rFonts w:ascii="Cambria Math" w:hAnsi="Cambria Math"/>
              </w:rPr>
            </m:ctrlPr>
          </m:sSupPr>
          <m:e/>
          <m:sup>
            <m:r>
              <m:rPr>
                <m:sty m:val="p"/>
              </m:rPr>
              <w:rPr>
                <w:rFonts w:ascii="Cambria Math" w:hAnsi="Cambria Math"/>
              </w:rPr>
              <m:t>-3</m:t>
            </m:r>
          </m:sup>
        </m:sSup>
      </m:oMath>
      <w:r>
        <w:rPr>
          <w:rFonts w:eastAsia="Times New Roman" w:cs="Times New Roman"/>
        </w:rPr>
        <w:t xml:space="preserve">, calculated from the public </w:t>
      </w:r>
      <m:oMath>
        <m:r>
          <m:rPr>
            <m:sty m:val="p"/>
          </m:rPr>
          <w:rPr>
            <w:rFonts w:ascii="Cambria Math" w:hAnsi="Cambria Math"/>
          </w:rPr>
          <m:t>P 3</m:t>
        </m:r>
      </m:oMath>
      <w:r>
        <w:rPr>
          <w:rFonts w:eastAsia="Times New Roman" w:cs="Times New Roman"/>
        </w:rPr>
        <w:t xml:space="preserve"> primitive cell, one formula unit per cell, and the formula mass of Na</w:t>
      </w:r>
      <m:oMath>
        <m:sSub>
          <m:sSubPr>
            <m:ctrlPr>
              <w:rPr>
                <w:rFonts w:ascii="Cambria Math" w:hAnsi="Cambria Math"/>
              </w:rPr>
            </m:ctrlPr>
          </m:sSubPr>
          <m:e/>
          <m:sub>
            <m:r>
              <m:rPr>
                <m:sty m:val="p"/>
              </m:rPr>
              <w:rPr>
                <w:rFonts w:ascii="Cambria Math" w:hAnsi="Cambria Math"/>
              </w:rPr>
              <m:t>2</m:t>
            </m:r>
          </m:sub>
        </m:sSub>
      </m:oMath>
      <w:r>
        <w:rPr>
          <w:rFonts w:eastAsia="Times New Roman" w:cs="Times New Roman"/>
        </w:rPr>
        <w:t>BaCo(PO</w:t>
      </w:r>
      <m:oMath>
        <m:sSub>
          <m:sSubPr>
            <m:ctrlPr>
              <w:rPr>
                <w:rFonts w:ascii="Cambria Math" w:hAnsi="Cambria Math"/>
              </w:rPr>
            </m:ctrlPr>
          </m:sSubPr>
          <m:e/>
          <m:sub>
            <m:r>
              <m:rPr>
                <m:sty m:val="p"/>
              </m:rPr>
              <w:rPr>
                <w:rFonts w:ascii="Cambria Math" w:hAnsi="Cambria Math"/>
              </w:rPr>
              <m:t>4</m:t>
            </m:r>
          </m:sub>
        </m:sSub>
      </m:oMath>
      <w:r>
        <w:rPr>
          <w:rFonts w:eastAsia="Times New Roman" w:cs="Times New Roman"/>
        </w:rPr>
        <w:t>)</w:t>
      </w:r>
      <m:oMath>
        <m:sSub>
          <m:sSubPr>
            <m:ctrlPr>
              <w:rPr>
                <w:rFonts w:ascii="Cambria Math" w:hAnsi="Cambria Math"/>
              </w:rPr>
            </m:ctrlPr>
          </m:sSubPr>
          <m:e/>
          <m:sub>
            <m:r>
              <m:rPr>
                <m:sty m:val="p"/>
              </m:rPr>
              <w:rPr>
                <w:rFonts w:ascii="Cambria Math" w:hAnsi="Cambria Math"/>
              </w:rPr>
              <m:t>2</m:t>
            </m:r>
          </m:sub>
        </m:sSub>
      </m:oMath>
      <w:r>
        <w:rPr>
          <w:rFonts w:eastAsia="Times New Roman" w:cs="Times New Roman"/>
        </w:rPr>
        <w:t>. As a cross-check, the public 1.65 g demagnetization sample corresponds to 0.392 cm</w:t>
      </w:r>
      <m:oMath>
        <m:sSup>
          <m:sSupPr>
            <m:ctrlPr>
              <w:rPr>
                <w:rFonts w:ascii="Cambria Math" w:hAnsi="Cambria Math"/>
              </w:rPr>
            </m:ctrlPr>
          </m:sSupPr>
          <m:e/>
          <m:sup>
            <m:r>
              <m:rPr>
                <m:sty m:val="p"/>
              </m:rPr>
              <w:rPr>
                <w:rFonts w:ascii="Cambria Math" w:hAnsi="Cambria Math"/>
              </w:rPr>
              <m:t>3</m:t>
            </m:r>
          </m:sup>
        </m:sSup>
      </m:oMath>
      <w:r>
        <w:rPr>
          <w:rFonts w:eastAsia="Times New Roman" w:cs="Times New Roman"/>
        </w:rPr>
        <w:t>.</w:t>
      </w:r>
    </w:p>
    <w:p w14:paraId="33218343" w14:textId="07E05277" w:rsidR="00FE5CF5" w:rsidRDefault="00F3169B">
      <w:pPr>
        <w:jc w:val="both"/>
      </w:pPr>
      <w:r>
        <w:rPr>
          <w:rFonts w:eastAsia="Times New Roman" w:cs="Times New Roman"/>
        </w:rPr>
        <w:t>To co</w:t>
      </w:r>
      <w:r>
        <w:rPr>
          <w:rFonts w:eastAsia="Times New Roman" w:cs="Times New Roman"/>
        </w:rPr>
        <w:t xml:space="preserve">nnect the internal microscopic field to the applied package field, we use the ellipsoidal relation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rm int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rm app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d>
              <m:dPr>
                <m:ctrlPr>
                  <w:rPr>
                    <w:rFonts w:ascii="Cambria Math" w:hAnsi="Cambria Math"/>
                  </w:rPr>
                </m:ctrlPr>
              </m:dPr>
              <m:e>
                <m:r>
                  <m:rPr>
                    <m:sty m:val="p"/>
                  </m:rPr>
                  <w:rPr>
                    <w:rFonts w:ascii="Cambria Math" w:hAnsi="Cambria Math"/>
                  </w:rPr>
                  <m:t>z</m:t>
                </m:r>
              </m:e>
            </m:d>
            <m:sSub>
              <m:sSubPr>
                <m:ctrlPr>
                  <w:rPr>
                    <w:rFonts w:ascii="Cambria Math" w:hAnsi="Cambria Math"/>
                  </w:rPr>
                </m:ctrlPr>
              </m:sSubPr>
              <m:e>
                <m:r>
                  <m:rPr>
                    <m:sty m:val="p"/>
                  </m:rPr>
                  <w:rPr>
                    <w:rFonts w:ascii="Cambria Math" w:hAnsi="Cambria Math"/>
                  </w:rPr>
                  <m:t>μ</m:t>
                </m:r>
              </m:e>
              <m:sub>
                <m:d>
                  <m:dPr>
                    <m:ctrlPr>
                      <w:rPr>
                        <w:rFonts w:ascii="Cambria Math" w:hAnsi="Cambria Math"/>
                      </w:rPr>
                    </m:ctrlPr>
                  </m:dPr>
                  <m:e>
                    <m:r>
                      <m:rPr>
                        <m:sty m:val="p"/>
                      </m:rPr>
                      <w:rPr>
                        <w:rFonts w:ascii="Cambria Math" w:hAnsi="Cambria Math"/>
                      </w:rPr>
                      <m:t>0</m:t>
                    </m:r>
                  </m:e>
                </m:d>
                <m:r>
                  <m:rPr>
                    <m:sty m:val="p"/>
                  </m:rPr>
                  <w:rPr>
                    <w:rFonts w:ascii="Cambria Math" w:hAnsi="Cambria Math"/>
                  </w:rPr>
                  <m:t>M</m:t>
                </m:r>
              </m:sub>
            </m:sSub>
          </m:sub>
        </m:sSub>
      </m:oMath>
      <w:r>
        <w:rPr>
          <w:rFonts w:eastAsia="Times New Roman" w:cs="Times New Roman"/>
        </w:rPr>
        <w:t xml:space="preserve">. The public </w:t>
      </w:r>
      <m:oMath>
        <m:r>
          <m:rPr>
            <m:sty m:val="p"/>
          </m:rPr>
          <w:rPr>
            <w:rFonts w:ascii="Cambria Math" w:hAnsi="Cambria Math"/>
          </w:rPr>
          <m:t>B∥ c</m:t>
        </m:r>
      </m:oMath>
      <w:r>
        <w:rPr>
          <w:rFonts w:eastAsia="Times New Roman" w:cs="Times New Roman"/>
        </w:rPr>
        <w:t xml:space="preserve"> value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c</m:t>
            </m:r>
          </m:sub>
        </m:sSub>
        <m:r>
          <m:rPr>
            <m:sty m:val="p"/>
          </m:rPr>
          <w:rPr>
            <w:rFonts w:ascii="Cambria Math" w:hAnsi="Cambria Math"/>
          </w:rPr>
          <m:t>=4.79</m:t>
        </m:r>
      </m:oMath>
      <w:r>
        <w:rPr>
          <w:rFonts w:eastAsia="Times New Roman" w:cs="Times New Roman"/>
        </w:rPr>
        <w:t xml:space="preserve">, one effective spin-1/2 per unit cell, and the public lattice constants give </w:t>
      </w:r>
      <m:oMath>
        <m:sSub>
          <m:sSubPr>
            <m:ctrlPr>
              <w:rPr>
                <w:rFonts w:ascii="Cambria Math" w:hAnsi="Cambria Math"/>
              </w:rPr>
            </m:ctrlPr>
          </m:sSubPr>
          <m:e>
            <m:r>
              <m:rPr>
                <m:sty m:val="p"/>
              </m:rPr>
              <w:rPr>
                <w:rFonts w:ascii="Cambria Math" w:hAnsi="Cambria Math"/>
              </w:rPr>
              <m:t>μ</m:t>
            </m:r>
          </m:e>
          <m:sub>
            <m:d>
              <m:dPr>
                <m:ctrlPr>
                  <w:rPr>
                    <w:rFonts w:ascii="Cambria Math" w:hAnsi="Cambria Math"/>
                  </w:rPr>
                </m:ctrlPr>
              </m:dPr>
              <m:e>
                <m:r>
                  <m:rPr>
                    <m:sty m:val="p"/>
                  </m:rPr>
                  <w:rPr>
                    <w:rFonts w:ascii="Cambria Math" w:hAnsi="Cambria Math"/>
                  </w:rPr>
                  <m:t>0</m:t>
                </m:r>
              </m:e>
            </m:d>
            <m:sSub>
              <m:sSubPr>
                <m:ctrlPr>
                  <w:rPr>
                    <w:rFonts w:ascii="Cambria Math" w:hAnsi="Cambria Math"/>
                  </w:rPr>
                </m:ctrlPr>
              </m:sSubPr>
              <m:e>
                <m:r>
                  <m:rPr>
                    <m:sty m:val="p"/>
                  </m:rPr>
                  <w:rPr>
                    <w:rFonts w:ascii="Cambria Math" w:hAnsi="Cambria Math"/>
                  </w:rPr>
                  <m:t>M</m:t>
                </m:r>
              </m:e>
              <m:sub>
                <m:r>
                  <m:rPr>
                    <m:sty m:val="p"/>
                  </m:rPr>
                  <w:rPr>
                    <w:rFonts w:ascii="Cambria Math" w:hAnsi="Cambria Math"/>
                  </w:rPr>
                  <m:t>s</m:t>
                </m:r>
              </m:sub>
            </m:sSub>
          </m:sub>
        </m:sSub>
        <m:r>
          <m:rPr>
            <m:sty m:val="p"/>
          </m:rPr>
          <w:rPr>
            <w:rFonts w:ascii="Cambria Math" w:hAnsi="Cambria Math"/>
          </w:rPr>
          <m:t>=0.16357</m:t>
        </m:r>
      </m:oMath>
      <w:r>
        <w:rPr>
          <w:rFonts w:eastAsia="Times New Roman" w:cs="Times New Roman"/>
        </w:rPr>
        <w:t xml:space="preserve"> T. An equal-volume spheroid is used as a reproducible shape envelope. Saturation magnetization gives a conservative upper bound; an exact package correction requires its dimensions, orientation, packing fraction, and measured </w:t>
      </w:r>
      <m:oMath>
        <m:r>
          <m:rPr>
            <m:sty m:val="p"/>
          </m:rPr>
          <w:rPr>
            <w:rFonts w:ascii="Cambria Math" w:hAnsi="Cambria Math"/>
          </w:rPr>
          <m:t>M</m:t>
        </m:r>
        <m:d>
          <m:dPr>
            <m:ctrlPr>
              <w:rPr>
                <w:rFonts w:ascii="Cambria Math" w:hAnsi="Cambria Math"/>
              </w:rPr>
            </m:ctrlPr>
          </m:dPr>
          <m:e>
            <m:r>
              <m:rPr>
                <m:sty m:val="p"/>
              </m:rPr>
              <w:rPr>
                <w:rFonts w:ascii="Cambria Math" w:hAnsi="Cambria Math"/>
              </w:rPr>
              <m:t>B,T</m:t>
            </m:r>
          </m:e>
        </m:d>
      </m:oMath>
      <w:r>
        <w:rPr>
          <w:rFonts w:eastAsia="Times New Roman" w:cs="Times New Roman"/>
        </w:rPr>
        <w:t>. The public 1.87</w:t>
      </w:r>
      <w:r>
        <w:rPr>
          <w:rFonts w:eastAsia="Times New Roman" w:cs="Times New Roman"/>
        </w:rPr>
        <w:t xml:space="preserve"> by 1.16 by 0.18 mm heat-capacity plate provides an external scale for this approximation [20].</w:t>
      </w:r>
    </w:p>
    <w:p w14:paraId="27B56CDF" w14:textId="77777777" w:rsidR="00FE5CF5" w:rsidRDefault="00F3169B">
      <w:pPr>
        <w:pStyle w:val="21"/>
      </w:pPr>
      <w:r>
        <w:rPr>
          <w:rFonts w:ascii="Times New Roman" w:eastAsia="Times New Roman" w:hAnsi="Times New Roman" w:cs="Times New Roman"/>
        </w:rPr>
        <w:t>E. Decision-targeted spectral-flow quantum-hardware benchmark</w:t>
      </w:r>
    </w:p>
    <w:p w14:paraId="761E5E15" w14:textId="2F9CBF6E" w:rsidR="00FE5CF5" w:rsidRDefault="00F3169B">
      <w:pPr>
        <w:jc w:val="both"/>
      </w:pPr>
      <w:r>
        <w:rPr>
          <w:rFonts w:eastAsia="Times New Roman" w:cs="Times New Roman"/>
        </w:rPr>
        <w:t>The finite-size audit first establishes that weak interactions change a refrigerator decision befo</w:t>
      </w:r>
      <w:r>
        <w:rPr>
          <w:rFonts w:eastAsia="Times New Roman" w:cs="Times New Roman"/>
        </w:rPr>
        <w:t xml:space="preserve">re quantum hardware is invoked. We then benchmark one complete low-energy correction on an open </w:t>
      </w:r>
      <m:oMath>
        <m:r>
          <m:rPr>
            <m:sty m:val="p"/>
          </m:rPr>
          <w:rPr>
            <w:rFonts w:ascii="Cambria Math" w:hAnsi="Cambria Math"/>
          </w:rPr>
          <m:t>3×2</m:t>
        </m:r>
      </m:oMath>
      <w:r>
        <w:rPr>
          <w:rFonts w:eastAsia="Times New Roman" w:cs="Times New Roman"/>
        </w:rPr>
        <w:t xml:space="preserve">, </w:t>
      </w:r>
      <m:oMath>
        <m:r>
          <m:rPr>
            <m:sty m:val="p"/>
          </m:rPr>
          <w:rPr>
            <w:rFonts w:ascii="Cambria Math" w:hAnsi="Cambria Math"/>
          </w:rPr>
          <m:t>N=6</m:t>
        </m:r>
      </m:oMath>
      <w:r>
        <w:rPr>
          <w:rFonts w:eastAsia="Times New Roman" w:cs="Times New Roman"/>
        </w:rPr>
        <w:t xml:space="preserve"> triangular patch. This patch is a circuit benchmark rather than a material or bulk approximation. The path </w:t>
      </w:r>
      <m:oMath>
        <m:r>
          <m:rPr>
            <m:sty m:val="p"/>
          </m:rPr>
          <w:rPr>
            <w:rFonts w:ascii="Cambria Math" w:hAnsi="Cambria Math"/>
          </w:rPr>
          <m:t>H</m:t>
        </m:r>
        <m:d>
          <m:dPr>
            <m:ctrlPr>
              <w:rPr>
                <w:rFonts w:ascii="Cambria Math" w:hAnsi="Cambria Math"/>
              </w:rPr>
            </m:ctrlPr>
          </m:dPr>
          <m:e>
            <m:r>
              <m:rPr>
                <m:sty m:val="p"/>
              </m:rPr>
              <w:rPr>
                <w:rFonts w:ascii="Cambria Math" w:hAnsi="Cambria Math"/>
              </w:rPr>
              <m:t>λ</m:t>
            </m:r>
          </m:e>
        </m:d>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rm M0</m:t>
            </m:r>
          </m:sub>
        </m:sSub>
        <m:r>
          <m:rPr>
            <m:sty m:val="p"/>
          </m:rPr>
          <w:rPr>
            <w:rFonts w:ascii="Cambria Math" w:hAnsi="Cambria Math"/>
          </w:rPr>
          <m:t>+λ V</m:t>
        </m:r>
      </m:oMath>
      <w:r>
        <w:rPr>
          <w:rFonts w:eastAsia="Times New Roman" w:cs="Times New Roman"/>
        </w:rPr>
        <w:t xml:space="preserve">, with </w:t>
      </w:r>
      <m:oMath>
        <m:r>
          <m:rPr>
            <m:sty m:val="p"/>
          </m:rPr>
          <w:rPr>
            <w:rFonts w:ascii="Cambria Math" w:hAnsi="Cambria Math"/>
          </w:rPr>
          <m:t>V=</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rm M2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rm M0</m:t>
            </m:r>
          </m:sub>
        </m:sSub>
      </m:oMath>
      <w:r>
        <w:rPr>
          <w:rFonts w:eastAsia="Times New Roman" w:cs="Times New Roman"/>
        </w:rPr>
        <w:t xml:space="preserve">, converts the finite-temperature problem into low-energy expectation values through the Hellmann–Feynman relation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dE</m:t>
                </m:r>
              </m:e>
              <m:sub>
                <m:r>
                  <m:rPr>
                    <m:sty m:val="p"/>
                  </m:rPr>
                  <w:rPr>
                    <w:rFonts w:ascii="Cambria Math" w:hAnsi="Cambria Math"/>
                  </w:rPr>
                  <m:t>k</m:t>
                </m:r>
              </m:sub>
            </m:sSub>
          </m:num>
          <m:den>
            <m:r>
              <m:rPr>
                <m:sty m:val="p"/>
              </m:rPr>
              <w:rPr>
                <w:rFonts w:ascii="Cambria Math" w:hAnsi="Cambria Math"/>
              </w:rPr>
              <m:t>dλ</m:t>
            </m:r>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 xml:space="preserve"> k,λ</m:t>
            </m:r>
            <m:d>
              <m:dPr>
                <m:begChr m:val="|"/>
                <m:endChr m:val="|"/>
                <m:ctrlPr>
                  <w:rPr>
                    <w:rFonts w:ascii="Cambria Math" w:hAnsi="Cambria Math"/>
                  </w:rPr>
                </m:ctrlPr>
              </m:dPr>
              <m:e>
                <m:r>
                  <m:rPr>
                    <m:sty m:val="p"/>
                  </m:rPr>
                  <w:rPr>
                    <w:rFonts w:ascii="Cambria Math" w:hAnsi="Cambria Math"/>
                  </w:rPr>
                  <m:t>V</m:t>
                </m:r>
              </m:e>
            </m:d>
            <m:r>
              <m:rPr>
                <m:sty m:val="p"/>
              </m:rPr>
              <w:rPr>
                <w:rFonts w:ascii="Cambria Math" w:hAnsi="Cambria Math"/>
              </w:rPr>
              <m:t>k,λ</m:t>
            </m:r>
          </m:e>
        </m:d>
      </m:oMath>
      <w:r>
        <w:rPr>
          <w:rFonts w:eastAsia="Times New Roman" w:cs="Times New Roman"/>
        </w:rPr>
        <w:t xml:space="preserve">. Three-point Gauss–Legendre integration reconstructs the three lowest levels; those levels meet the predeclared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per-spin entropy-error target at 100 mK. This spectral-flow route avoids direct entropy measurement and follows finite-temperature quantum-algorithm proposals that reconstruct thermal information from controlled state or subspace calculations [21</w:t>
      </w:r>
      <w:r>
        <w:rPr>
          <w:rFonts w:eastAsia="Times New Roman" w:cs="Times New Roman"/>
        </w:rPr>
        <w:t>,22].</w:t>
      </w:r>
    </w:p>
    <w:p w14:paraId="060C38E1" w14:textId="31C6E015" w:rsidR="00FE5CF5" w:rsidRDefault="00F3169B">
      <w:pPr>
        <w:jc w:val="both"/>
      </w:pPr>
      <w:r>
        <w:rPr>
          <w:rFonts w:eastAsia="Times New Roman" w:cs="Times New Roman"/>
        </w:rPr>
        <w:t xml:space="preserve">Each state starts from one local layer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z</m:t>
            </m:r>
          </m:sub>
        </m:sSub>
      </m:oMath>
      <w:r>
        <w:rPr>
          <w:rFonts w:eastAsia="Times New Roman" w:cs="Times New Roman"/>
        </w:rPr>
        <w:t xml:space="preserve">, number-conserving Givens, and pair-mixing gates on the patch graph. Second-layer generators are appended in descending fidelity-gradient order until fidelity exceeds 0.9999 and the absolute </w:t>
      </w:r>
      <m:oMath>
        <m:r>
          <m:rPr>
            <m:sty m:val="p"/>
          </m:rPr>
          <w:rPr>
            <w:rFonts w:ascii="Cambria Math" w:hAnsi="Cambria Math"/>
          </w:rPr>
          <m:t>V</m:t>
        </m:r>
      </m:oMath>
      <w:r>
        <w:rPr>
          <w:rFonts w:eastAsia="Times New Roman" w:cs="Times New Roman"/>
        </w:rPr>
        <w:t>-expectation error is below 0.001 K. Exact eigenvectors are fit</w:t>
      </w:r>
      <w:r>
        <w:rPr>
          <w:rFonts w:eastAsia="Times New Roman" w:cs="Times New Roman"/>
        </w:rPr>
        <w:t xml:space="preserve">ting targets, so this procedure tests circuit representation and hardware execution rather than scalable eigenstate discovery. Across nine node/level circuits, the minimum local fidelity is 0.999916, the maximum local </w:t>
      </w:r>
      <m:oMath>
        <m:r>
          <m:rPr>
            <m:sty m:val="p"/>
          </m:rPr>
          <w:rPr>
            <w:rFonts w:ascii="Cambria Math" w:hAnsi="Cambria Math"/>
          </w:rPr>
          <m:t>V</m:t>
        </m:r>
      </m:oMath>
      <w:r>
        <w:rPr>
          <w:rFonts w:eastAsia="Times New Roman" w:cs="Times New Roman"/>
        </w:rPr>
        <w:t xml:space="preserve"> error is 0.000900 K, and the reconst</w:t>
      </w:r>
      <w:r>
        <w:rPr>
          <w:rFonts w:eastAsia="Times New Roman" w:cs="Times New Roman"/>
        </w:rPr>
        <w:t xml:space="preserve">ructed entropy error is </w:t>
      </w:r>
      <m:oMath>
        <m:r>
          <m:rPr>
            <m:sty m:val="p"/>
          </m:rPr>
          <w:rPr>
            <w:rFonts w:ascii="Cambria Math" w:hAnsi="Cambria Math"/>
          </w:rPr>
          <m:t>-9.53×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w:t>
      </w:r>
    </w:p>
    <w:p w14:paraId="1DEEBCEC" w14:textId="77777777" w:rsidR="00FE5CF5" w:rsidRDefault="00F3169B">
      <w:pPr>
        <w:jc w:val="both"/>
      </w:pPr>
      <w:r>
        <w:rPr>
          <w:rFonts w:eastAsia="Times New Roman" w:cs="Times New Roman"/>
        </w:rPr>
        <w:t>The frozen circuits were compiled to IBM Kingston with at most 96 CZ gates. Two Open Plan Estimator jobs used a 0.02 K target precision, XpXm dynamical decoupling, gate twirling, and twirled readout-err</w:t>
      </w:r>
      <w:r>
        <w:rPr>
          <w:rFonts w:eastAsia="Times New Roman" w:cs="Times New Roman"/>
        </w:rPr>
        <w:t xml:space="preserve">or extinction; the second additionally used zero-noise extrapolation [23,24]. Each job contains all nine circuits. Estimator-reported standard errors are propagated through the nonlinear entropy reconstruction using 100,000 independent normal draws with a </w:t>
      </w:r>
      <w:r>
        <w:rPr>
          <w:rFonts w:eastAsia="Times New Roman" w:cs="Times New Roman"/>
        </w:rPr>
        <w:t>fixed seed. The resulting interval represents reported sampling uncertainty only. Residual hardware bias is evaluated separately against the known exact six-spin result.</w:t>
      </w:r>
    </w:p>
    <w:p w14:paraId="6AD27183" w14:textId="77777777" w:rsidR="00FE5CF5" w:rsidRDefault="00F3169B">
      <w:pPr>
        <w:pStyle w:val="1"/>
      </w:pPr>
      <w:r>
        <w:rPr>
          <w:rFonts w:ascii="Times New Roman" w:eastAsia="Times New Roman" w:hAnsi="Times New Roman" w:cs="Times New Roman"/>
        </w:rPr>
        <w:t>IV. Results</w:t>
      </w:r>
    </w:p>
    <w:p w14:paraId="2659AF3E" w14:textId="77777777" w:rsidR="00FE5CF5" w:rsidRDefault="00F3169B">
      <w:pPr>
        <w:pStyle w:val="21"/>
      </w:pPr>
      <w:r>
        <w:rPr>
          <w:rFonts w:ascii="Times New Roman" w:eastAsia="Times New Roman" w:hAnsi="Times New Roman" w:cs="Times New Roman"/>
        </w:rPr>
        <w:t>A. Small clusters diagnose rather than remove the bulk problem</w:t>
      </w:r>
    </w:p>
    <w:p w14:paraId="59A4B2B7" w14:textId="39BD97D3" w:rsidR="00FE5CF5" w:rsidRDefault="00F3169B">
      <w:pPr>
        <w:jc w:val="both"/>
      </w:pPr>
      <w:r>
        <w:rPr>
          <w:rFonts w:eastAsia="Times New Roman" w:cs="Times New Roman"/>
        </w:rPr>
        <w:t>The N=15 an</w:t>
      </w:r>
      <w:r>
        <w:rPr>
          <w:rFonts w:eastAsia="Times New Roman" w:cs="Times New Roman"/>
        </w:rPr>
        <w:t xml:space="preserve">d N=18 calculations detect a low-temperature correction, but they disagree in sign. At 90 mK and 1.50 T,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rm M3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rm M0</m:t>
            </m:r>
          </m:sub>
        </m:sSub>
      </m:oMath>
      <w:r>
        <w:rPr>
          <w:rFonts w:eastAsia="Times New Roman" w:cs="Times New Roman"/>
        </w:rPr>
        <w:t xml:space="preserve"> is +0.00664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for N=15 and −0.00331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for N=18. Aligning the cluster critical fields to the bulk instabil</w:t>
      </w:r>
      <w:r>
        <w:rPr>
          <w:rFonts w:eastAsia="Times New Roman" w:cs="Times New Roman"/>
        </w:rPr>
        <w:t>ity does not remove the sign reversal. N=21, N=24, and N=27 low-magnon calculations continue an alternating size sequence whose magnitude decreases toward zero.</w:t>
      </w:r>
    </w:p>
    <w:p w14:paraId="1E69047A" w14:textId="4E09C3EC" w:rsidR="00FE5CF5" w:rsidRDefault="00F3169B">
      <w:pPr>
        <w:jc w:val="both"/>
      </w:pPr>
      <w:r>
        <w:rPr>
          <w:rFonts w:eastAsia="Times New Roman" w:cs="Times New Roman"/>
        </w:rPr>
        <w:t xml:space="preserve">For N=18, a deterministic 16-level calculation agrees with the full finite-temperature estimate within </w:t>
      </w:r>
      <m:oMath>
        <m:r>
          <m:rPr>
            <m:sty m:val="p"/>
          </m:rPr>
          <w:rPr>
            <w:rFonts w:ascii="Cambria Math" w:hAnsi="Cambria Math"/>
          </w:rPr>
          <m:t>2.42×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showing that random trace noise is not responsible. N=24 boundary-residual and energy-denominator tests constrain the first </w:t>
      </w:r>
      <w:r>
        <w:rPr>
          <w:rFonts w:eastAsia="Times New Roman" w:cs="Times New Roman"/>
        </w:rPr>
        <w:t xml:space="preserve">omitted sectors to an estimated 90 mK entropy influence of </w:t>
      </w:r>
      <m:oMath>
        <m:r>
          <m:rPr>
            <m:sty m:val="p"/>
          </m:rPr>
          <w:rPr>
            <w:rFonts w:ascii="Cambria Math" w:hAnsi="Cambria Math"/>
          </w:rPr>
          <m:t>8.72×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The dominant uncertainty is therefore the finite-size shell sequence rather than the magnon cutoff.</w:t>
      </w:r>
    </w:p>
    <w:p w14:paraId="3DDD88AC" w14:textId="77777777" w:rsidR="00FE5CF5" w:rsidRDefault="00F3169B">
      <w:pPr>
        <w:jc w:val="both"/>
      </w:pPr>
      <w:r>
        <w:rPr>
          <w:rFonts w:eastAsia="Times New Roman" w:cs="Times New Roman"/>
        </w:rPr>
        <w:t>This negative result sets the scope of the paper: finite clusters ca</w:t>
      </w:r>
      <w:r>
        <w:rPr>
          <w:rFonts w:eastAsia="Times New Roman" w:cs="Times New Roman"/>
        </w:rPr>
        <w:t>nnot determine the bulk sign of the local M3 entropy correction. We retain the public XTRG surface for absolute finite-temperature thermodynamics and use the independently converged bulk instability only to test whether the field scale changes enough to ma</w:t>
      </w:r>
      <w:r>
        <w:rPr>
          <w:rFonts w:eastAsia="Times New Roman" w:cs="Times New Roman"/>
        </w:rPr>
        <w:t>tter.</w:t>
      </w:r>
    </w:p>
    <w:p w14:paraId="76D10BD8" w14:textId="77777777" w:rsidR="00FE5CF5" w:rsidRDefault="00F3169B">
      <w:pPr>
        <w:pStyle w:val="21"/>
      </w:pPr>
      <w:r>
        <w:rPr>
          <w:rFonts w:ascii="Times New Roman" w:eastAsia="Times New Roman" w:hAnsi="Times New Roman" w:cs="Times New Roman"/>
        </w:rPr>
        <w:t>B. A nearest-neighbor dipolar model gives the wrong hierarchy</w:t>
      </w:r>
    </w:p>
    <w:p w14:paraId="4CC043BF" w14:textId="77777777" w:rsidR="00FE5CF5" w:rsidRDefault="00F3169B">
      <w:pPr>
        <w:jc w:val="both"/>
      </w:pPr>
      <w:r>
        <w:rPr>
          <w:rFonts w:eastAsia="Times New Roman" w:cs="Times New Roman"/>
        </w:rPr>
        <w:t>The bulk critical fields are summarized in Table I.</w:t>
      </w:r>
    </w:p>
    <w:p w14:paraId="06F3CDFB" w14:textId="77777777" w:rsidR="00FE5CF5" w:rsidRDefault="00F3169B">
      <w:pPr>
        <w:pStyle w:val="af0"/>
      </w:pPr>
      <w:r>
        <w:rPr>
          <w:rFonts w:eastAsia="Times New Roman" w:cs="Times New Roman"/>
        </w:rPr>
        <w:t>Table I. Thermodynamic-limit polarized-state critical fields.</w:t>
      </w:r>
      <w:r>
        <w:rPr>
          <w:rFonts w:eastAsia="Times New Roman" w:cs="Times New Roman"/>
          <w:b w:val="0"/>
        </w:rPr>
        <w:t xml:space="preserve"> Values are model-scale diagnostics, not direct operating fields.</w:t>
      </w:r>
    </w:p>
    <w:tbl>
      <w:tblPr>
        <w:tblW w:w="0" w:type="auto"/>
        <w:jc w:val="center"/>
        <w:tblLook w:val="04A0" w:firstRow="1" w:lastRow="0" w:firstColumn="1" w:lastColumn="0" w:noHBand="0" w:noVBand="1"/>
      </w:tblPr>
      <w:tblGrid>
        <w:gridCol w:w="2469"/>
        <w:gridCol w:w="2469"/>
        <w:gridCol w:w="2469"/>
        <w:gridCol w:w="2469"/>
      </w:tblGrid>
      <w:tr w:rsidR="00FE5CF5" w14:paraId="1F6E7B82" w14:textId="77777777">
        <w:trPr>
          <w:tblHeade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5231D69F" w14:textId="77777777" w:rsidR="00FE5CF5" w:rsidRDefault="00F3169B">
            <w:pPr>
              <w:spacing w:after="0" w:line="240" w:lineRule="auto"/>
            </w:pPr>
            <w:r>
              <w:rPr>
                <w:rFonts w:eastAsia="Times New Roman" w:cs="Times New Roman"/>
                <w:b/>
                <w:color w:val="FFFFFF"/>
                <w:sz w:val="16"/>
              </w:rPr>
              <w:t>Model</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5D0373B1" w14:textId="77777777" w:rsidR="00FE5CF5" w:rsidRDefault="00F3169B">
            <w:pPr>
              <w:spacing w:after="0" w:line="240" w:lineRule="auto"/>
              <w:jc w:val="center"/>
            </w:pPr>
            <w:r>
              <w:rPr>
                <w:rFonts w:eastAsia="Times New Roman" w:cs="Times New Roman"/>
                <w:b/>
                <w:color w:val="FFFFFF"/>
                <w:sz w:val="16"/>
              </w:rPr>
              <w:t>Add</w:t>
            </w:r>
            <w:r>
              <w:rPr>
                <w:rFonts w:eastAsia="Times New Roman" w:cs="Times New Roman"/>
                <w:b/>
                <w:color w:val="FFFFFF"/>
                <w:sz w:val="16"/>
              </w:rPr>
              <w:t>ed physics</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687A36A6" w14:textId="1F5B688C" w:rsidR="00FE5CF5" w:rsidRDefault="00F3169B">
            <w:pPr>
              <w:spacing w:after="0" w:line="240" w:lineRule="auto"/>
              <w:jc w:val="center"/>
            </w:pPr>
            <w:r>
              <w:rPr>
                <w:rFonts w:eastAsia="Times New Roman" w:cs="Times New Roman"/>
                <w:b/>
                <w:color w:val="FFFFFF"/>
                <w:sz w:val="16"/>
              </w:rPr>
              <w:t xml:space="preserve">Tin-foil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b/>
                <w:color w:val="FFFFFF"/>
                <w:sz w:val="16"/>
              </w:rPr>
              <w:t xml:space="preserve"> (T)</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338F66FB" w14:textId="3DE07056" w:rsidR="00FE5CF5" w:rsidRDefault="00F3169B">
            <w:pPr>
              <w:spacing w:after="0" w:line="240" w:lineRule="auto"/>
              <w:jc w:val="center"/>
            </w:pPr>
            <w:r>
              <w:rPr>
                <w:rFonts w:eastAsia="Times New Roman" w:cs="Times New Roman"/>
                <w:b/>
                <w:color w:val="FFFFFF"/>
                <w:sz w:val="16"/>
              </w:rPr>
              <w:t xml:space="preserve">Spherical-vacuum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b/>
                <w:color w:val="FFFFFF"/>
                <w:sz w:val="16"/>
              </w:rPr>
              <w:t xml:space="preserve"> (T)</w:t>
            </w:r>
          </w:p>
        </w:tc>
      </w:tr>
      <w:tr w:rsidR="00FE5CF5" w14:paraId="0243263A"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C84F946" w14:textId="77777777" w:rsidR="00FE5CF5" w:rsidRDefault="00F3169B">
            <w:pPr>
              <w:spacing w:after="0" w:line="240" w:lineRule="auto"/>
            </w:pPr>
            <w:r>
              <w:rPr>
                <w:rFonts w:eastAsia="Times New Roman" w:cs="Times New Roman"/>
                <w:sz w:val="16"/>
              </w:rPr>
              <w:t>M0</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45BE478" w14:textId="77777777" w:rsidR="00FE5CF5" w:rsidRDefault="00F3169B">
            <w:pPr>
              <w:spacing w:after="0" w:line="240" w:lineRule="auto"/>
              <w:jc w:val="center"/>
            </w:pPr>
            <w:r>
              <w:rPr>
                <w:rFonts w:eastAsia="Times New Roman" w:cs="Times New Roman"/>
                <w:sz w:val="16"/>
              </w:rPr>
              <w:t>nearest-neighbor XXZ</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458BB1E" w14:textId="77777777" w:rsidR="00FE5CF5" w:rsidRDefault="00F3169B">
            <w:pPr>
              <w:spacing w:after="0" w:line="240" w:lineRule="auto"/>
              <w:jc w:val="center"/>
            </w:pPr>
            <w:r>
              <w:rPr>
                <w:rFonts w:eastAsia="Times New Roman" w:cs="Times New Roman"/>
                <w:sz w:val="16"/>
              </w:rPr>
              <w:t>1.77436</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B0F3A7A" w14:textId="77777777" w:rsidR="00FE5CF5" w:rsidRDefault="00F3169B">
            <w:pPr>
              <w:spacing w:after="0" w:line="240" w:lineRule="auto"/>
              <w:jc w:val="center"/>
            </w:pPr>
            <w:r>
              <w:rPr>
                <w:rFonts w:eastAsia="Times New Roman" w:cs="Times New Roman"/>
                <w:sz w:val="16"/>
              </w:rPr>
              <w:t>1.77436</w:t>
            </w:r>
          </w:p>
        </w:tc>
      </w:tr>
      <w:tr w:rsidR="00FE5CF5" w14:paraId="50E3BACC"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51E329E" w14:textId="77777777" w:rsidR="00FE5CF5" w:rsidRDefault="00F3169B">
            <w:pPr>
              <w:spacing w:after="0" w:line="240" w:lineRule="auto"/>
            </w:pPr>
            <w:r>
              <w:rPr>
                <w:rFonts w:eastAsia="Times New Roman" w:cs="Times New Roman"/>
                <w:sz w:val="16"/>
              </w:rPr>
              <w:t>M1</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288D667" w14:textId="2D39AB21" w:rsidR="00FE5CF5" w:rsidRDefault="00F3169B">
            <w:pPr>
              <w:spacing w:after="0" w:line="240" w:lineRule="auto"/>
              <w:jc w:val="center"/>
            </w:pPr>
            <w:r>
              <w:rPr>
                <w:rFonts w:eastAsia="Times New Roman" w:cs="Times New Roman"/>
                <w:sz w:val="16"/>
              </w:rPr>
              <w:t xml:space="preserve">+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m:t>
                  </m:r>
                </m:sub>
              </m:sSub>
            </m:oMath>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69619B0" w14:textId="77777777" w:rsidR="00FE5CF5" w:rsidRDefault="00F3169B">
            <w:pPr>
              <w:spacing w:after="0" w:line="240" w:lineRule="auto"/>
              <w:jc w:val="center"/>
            </w:pPr>
            <w:r>
              <w:rPr>
                <w:rFonts w:eastAsia="Times New Roman" w:cs="Times New Roman"/>
                <w:sz w:val="16"/>
              </w:rPr>
              <w:t>1.77516</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76460D6" w14:textId="77777777" w:rsidR="00FE5CF5" w:rsidRDefault="00F3169B">
            <w:pPr>
              <w:spacing w:after="0" w:line="240" w:lineRule="auto"/>
              <w:jc w:val="center"/>
            </w:pPr>
            <w:r>
              <w:rPr>
                <w:rFonts w:eastAsia="Times New Roman" w:cs="Times New Roman"/>
                <w:sz w:val="16"/>
              </w:rPr>
              <w:t>1.77516</w:t>
            </w:r>
          </w:p>
        </w:tc>
      </w:tr>
      <w:tr w:rsidR="00FE5CF5" w14:paraId="648C4EE7"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B8201C5" w14:textId="77777777" w:rsidR="00FE5CF5" w:rsidRDefault="00F3169B">
            <w:pPr>
              <w:spacing w:after="0" w:line="240" w:lineRule="auto"/>
            </w:pPr>
            <w:r>
              <w:rPr>
                <w:rFonts w:eastAsia="Times New Roman" w:cs="Times New Roman"/>
                <w:sz w:val="16"/>
              </w:rPr>
              <w:t>M2</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58ABE5A" w14:textId="77777777" w:rsidR="00FE5CF5" w:rsidRDefault="00F3169B">
            <w:pPr>
              <w:spacing w:after="0" w:line="240" w:lineRule="auto"/>
              <w:jc w:val="center"/>
            </w:pPr>
            <w:r>
              <w:rPr>
                <w:rFonts w:eastAsia="Times New Roman" w:cs="Times New Roman"/>
                <w:sz w:val="16"/>
              </w:rPr>
              <w:t>+ nearest-neighbor dipole</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6B57017" w14:textId="77777777" w:rsidR="00FE5CF5" w:rsidRDefault="00F3169B">
            <w:pPr>
              <w:spacing w:after="0" w:line="240" w:lineRule="auto"/>
              <w:jc w:val="center"/>
            </w:pPr>
            <w:r>
              <w:rPr>
                <w:rFonts w:eastAsia="Times New Roman" w:cs="Times New Roman"/>
                <w:sz w:val="16"/>
              </w:rPr>
              <w:t>1.85682</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99A03B0" w14:textId="77777777" w:rsidR="00FE5CF5" w:rsidRDefault="00F3169B">
            <w:pPr>
              <w:spacing w:after="0" w:line="240" w:lineRule="auto"/>
              <w:jc w:val="center"/>
            </w:pPr>
            <w:r>
              <w:rPr>
                <w:rFonts w:eastAsia="Times New Roman" w:cs="Times New Roman"/>
                <w:sz w:val="16"/>
              </w:rPr>
              <w:t>1.85682</w:t>
            </w:r>
          </w:p>
        </w:tc>
      </w:tr>
      <w:tr w:rsidR="00FE5CF5" w14:paraId="5ADA5893"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5BBD732" w14:textId="77777777" w:rsidR="00FE5CF5" w:rsidRDefault="00F3169B">
            <w:pPr>
              <w:spacing w:after="0" w:line="240" w:lineRule="auto"/>
            </w:pPr>
            <w:r>
              <w:rPr>
                <w:rFonts w:eastAsia="Times New Roman" w:cs="Times New Roman"/>
                <w:sz w:val="16"/>
              </w:rPr>
              <w:t>M3</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23B8CDB" w14:textId="77777777" w:rsidR="00FE5CF5" w:rsidRDefault="00F3169B">
            <w:pPr>
              <w:spacing w:after="0" w:line="240" w:lineRule="auto"/>
              <w:jc w:val="center"/>
            </w:pPr>
            <w:r>
              <w:rPr>
                <w:rFonts w:eastAsia="Times New Roman" w:cs="Times New Roman"/>
                <w:sz w:val="16"/>
              </w:rPr>
              <w:t>+ full long-range dipole</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197726C" w14:textId="77777777" w:rsidR="00FE5CF5" w:rsidRDefault="00F3169B">
            <w:pPr>
              <w:spacing w:after="0" w:line="240" w:lineRule="auto"/>
              <w:jc w:val="center"/>
            </w:pPr>
            <w:r>
              <w:rPr>
                <w:rFonts w:eastAsia="Times New Roman" w:cs="Times New Roman"/>
                <w:sz w:val="16"/>
              </w:rPr>
              <w:t>1.77240</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A0D49F0" w14:textId="77777777" w:rsidR="00FE5CF5" w:rsidRDefault="00F3169B">
            <w:pPr>
              <w:spacing w:after="0" w:line="240" w:lineRule="auto"/>
              <w:jc w:val="center"/>
            </w:pPr>
            <w:r>
              <w:rPr>
                <w:rFonts w:eastAsia="Times New Roman" w:cs="Times New Roman"/>
                <w:sz w:val="16"/>
              </w:rPr>
              <w:t>1.82608</w:t>
            </w:r>
          </w:p>
        </w:tc>
      </w:tr>
      <w:tr w:rsidR="00FE5CF5" w14:paraId="65CC9B57"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584E353" w14:textId="77777777" w:rsidR="00FE5CF5" w:rsidRDefault="00F3169B">
            <w:pPr>
              <w:spacing w:after="0" w:line="240" w:lineRule="auto"/>
            </w:pPr>
            <w:r>
              <w:rPr>
                <w:rFonts w:eastAsia="Times New Roman" w:cs="Times New Roman"/>
                <w:sz w:val="16"/>
              </w:rPr>
              <w:t>M4</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6118FC3" w14:textId="77777777" w:rsidR="00FE5CF5" w:rsidRDefault="00F3169B">
            <w:pPr>
              <w:spacing w:after="0" w:line="240" w:lineRule="auto"/>
              <w:jc w:val="center"/>
            </w:pPr>
            <w:r>
              <w:rPr>
                <w:rFonts w:eastAsia="Times New Roman" w:cs="Times New Roman"/>
                <w:sz w:val="16"/>
              </w:rPr>
              <w:t xml:space="preserve">+ representative </w:t>
            </w:r>
            <w:r>
              <w:rPr>
                <w:rFonts w:eastAsia="Times New Roman" w:cs="Times New Roman"/>
                <w:sz w:val="16"/>
              </w:rPr>
              <w:t>interlayer exchange</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AC516E9" w14:textId="77777777" w:rsidR="00FE5CF5" w:rsidRDefault="00F3169B">
            <w:pPr>
              <w:spacing w:after="0" w:line="240" w:lineRule="auto"/>
              <w:jc w:val="center"/>
            </w:pPr>
            <w:r>
              <w:rPr>
                <w:rFonts w:eastAsia="Times New Roman" w:cs="Times New Roman"/>
                <w:sz w:val="16"/>
              </w:rPr>
              <w:t>1.86767</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60CD823" w14:textId="77777777" w:rsidR="00FE5CF5" w:rsidRDefault="00F3169B">
            <w:pPr>
              <w:spacing w:after="0" w:line="240" w:lineRule="auto"/>
              <w:jc w:val="center"/>
            </w:pPr>
            <w:r>
              <w:rPr>
                <w:rFonts w:eastAsia="Times New Roman" w:cs="Times New Roman"/>
                <w:sz w:val="16"/>
              </w:rPr>
              <w:t>1.92135</w:t>
            </w:r>
          </w:p>
        </w:tc>
      </w:tr>
    </w:tbl>
    <w:p w14:paraId="757056B5" w14:textId="77777777" w:rsidR="00FE5CF5" w:rsidRDefault="00FE5CF5">
      <w:pPr>
        <w:spacing w:after="40"/>
      </w:pPr>
    </w:p>
    <w:p w14:paraId="71BB527D" w14:textId="448B2EBC" w:rsidR="00FE5CF5" w:rsidRDefault="00F3169B">
      <w:pPr>
        <w:jc w:val="both"/>
      </w:pPr>
      <w:r>
        <w:rPr>
          <w:rFonts w:eastAsia="Times New Roman" w:cs="Times New Roman"/>
        </w:rPr>
        <w:t xml:space="preserve">The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m:t>
            </m:r>
          </m:sub>
        </m:sSub>
      </m:oMath>
      <w:r>
        <w:rPr>
          <w:rFonts w:eastAsia="Times New Roman" w:cs="Times New Roman"/>
        </w:rPr>
        <w:t xml:space="preserve"> contribution to the critical field is 0.00080 T. The nearest-neighbor dipolar term appears much larger, increasing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rPr>
        <w:t xml:space="preserve"> by 0.08246 T. That conclusion does not survive the long-range sum: M3 returns to withi</w:t>
      </w:r>
      <w:r>
        <w:rPr>
          <w:rFonts w:eastAsia="Times New Roman" w:cs="Times New Roman"/>
        </w:rPr>
        <w:t>n −0.00196 T of M0 under tin-foil conditions and lies +0.05172 T above M0 for a spherical-vacuum boundary. Thus a nearest-neighbor dipolar truncation can assign both the wrong magnitude and, relative to other weak terms, the wrong design priority. The macr</w:t>
      </w:r>
      <w:r>
        <w:rPr>
          <w:rFonts w:eastAsia="Times New Roman" w:cs="Times New Roman"/>
        </w:rPr>
        <w:t>oscopic dipolar convention is itself a reportable source of model risk.</w:t>
      </w:r>
    </w:p>
    <w:p w14:paraId="3A58859D" w14:textId="77777777" w:rsidR="00FE5CF5" w:rsidRDefault="00F3169B">
      <w:pPr>
        <w:jc w:val="both"/>
      </w:pPr>
      <w:r>
        <w:rPr>
          <w:rFonts w:eastAsia="Times New Roman" w:cs="Times New Roman"/>
        </w:rPr>
        <w:t xml:space="preserve">The P2 interlayer network shifts M4 relative to M3 by 0.09527 T under either boundary convention. This invariance occurs because the same dipolar surface term is present on both sides </w:t>
      </w:r>
      <w:r>
        <w:rPr>
          <w:rFonts w:eastAsia="Times New Roman" w:cs="Times New Roman"/>
        </w:rPr>
        <w:t>of the ablation. The simple P1 vertical bond gives only 0.03157 T. The comparison shows that the topology and anisotropy of the frustrated interlayer network, not the existence of an arbitrary small interlayer energy scale, drive the threshold-crossing res</w:t>
      </w:r>
      <w:r>
        <w:rPr>
          <w:rFonts w:eastAsia="Times New Roman" w:cs="Times New Roman"/>
        </w:rPr>
        <w:t>ult.</w:t>
      </w:r>
    </w:p>
    <w:p w14:paraId="710AA9C7" w14:textId="77777777" w:rsidR="00FE5CF5" w:rsidRDefault="00F3169B">
      <w:pPr>
        <w:keepNext/>
        <w:spacing w:before="80" w:after="40"/>
        <w:jc w:val="center"/>
      </w:pPr>
      <w:r>
        <w:rPr>
          <w:noProof/>
        </w:rPr>
        <w:drawing>
          <wp:inline distT="0" distB="0" distL="0" distR="0" wp14:anchorId="55992F8C" wp14:editId="70C1F435">
            <wp:extent cx="6172200" cy="1800225"/>
            <wp:effectExtent l="0" t="0" r="0" b="0"/>
            <wp:docPr id="1" name="Picture 1" descr="Bulk model hierarchy and decision-scale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lk_bridge_engineering_screen.png"/>
                    <pic:cNvPicPr/>
                  </pic:nvPicPr>
                  <pic:blipFill>
                    <a:blip r:embed="rId8"/>
                    <a:stretch>
                      <a:fillRect/>
                    </a:stretch>
                  </pic:blipFill>
                  <pic:spPr>
                    <a:xfrm>
                      <a:off x="0" y="0"/>
                      <a:ext cx="6172200" cy="1800225"/>
                    </a:xfrm>
                    <a:prstGeom prst="rect">
                      <a:avLst/>
                    </a:prstGeom>
                  </pic:spPr>
                </pic:pic>
              </a:graphicData>
            </a:graphic>
          </wp:inline>
        </w:drawing>
      </w:r>
    </w:p>
    <w:p w14:paraId="41203E04" w14:textId="77777777" w:rsidR="00FE5CF5" w:rsidRDefault="00F3169B">
      <w:pPr>
        <w:pStyle w:val="af0"/>
      </w:pPr>
      <w:r>
        <w:rPr>
          <w:rFonts w:eastAsia="Times New Roman" w:cs="Times New Roman"/>
        </w:rPr>
        <w:t>Figure 1.</w:t>
      </w:r>
      <w:r>
        <w:rPr>
          <w:rFonts w:eastAsia="Times New Roman" w:cs="Times New Roman"/>
          <w:b w:val="0"/>
        </w:rPr>
        <w:t xml:space="preserve"> (a) Critical fields across M0–M4 for the tin-foil Ewald convention. M2 demonstrates why nearest-neighbor dipoles are a poor proxy for the long-range interaction. (b) The public 90 mK reference profile transported by the calculated critical</w:t>
      </w:r>
      <w:r>
        <w:rPr>
          <w:rFonts w:eastAsia="Times New Roman" w:cs="Times New Roman"/>
          <w:b w:val="0"/>
        </w:rPr>
        <w:t>-field shifts; the vertical scale is inherited and is not a direct M4 heat calculation. (c) All four representative-M4 transport and boundary scenarios exceed the predeclared 0.05 T threshold.</w:t>
      </w:r>
    </w:p>
    <w:p w14:paraId="0CF7E9B6" w14:textId="77777777" w:rsidR="00FE5CF5" w:rsidRDefault="00F3169B">
      <w:pPr>
        <w:pStyle w:val="21"/>
      </w:pPr>
      <w:r>
        <w:rPr>
          <w:rFonts w:ascii="Times New Roman" w:eastAsia="Times New Roman" w:hAnsi="Times New Roman" w:cs="Times New Roman"/>
        </w:rPr>
        <w:t>C. Public diffraction converts P2 into a constrained model set</w:t>
      </w:r>
    </w:p>
    <w:p w14:paraId="1DCD9ED2" w14:textId="4B4C5900" w:rsidR="00FE5CF5" w:rsidRDefault="00F3169B">
      <w:pPr>
        <w:jc w:val="both"/>
      </w:pPr>
      <w:r>
        <w:rPr>
          <w:rFonts w:eastAsia="Times New Roman" w:cs="Times New Roman"/>
        </w:rPr>
        <w:t xml:space="preserve">The representative P2 calculation is reproduced independently: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r>
          <m:rPr>
            <m:sty m:val="p"/>
          </m:rPr>
          <w:rPr>
            <w:rFonts w:ascii="Cambria Math" w:hAnsi="Cambria Math"/>
          </w:rPr>
          <m:t>=0.02483</m:t>
        </m:r>
      </m:oMath>
      <w:r>
        <w:rPr>
          <w:rFonts w:eastAsia="Times New Roman" w:cs="Times New Roman"/>
        </w:rPr>
        <w:t xml:space="preserve">, folded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r>
          <m:rPr>
            <m:sty m:val="p"/>
          </m:rPr>
          <w:rPr>
            <w:rFonts w:ascii="Cambria Math" w:hAnsi="Cambria Math"/>
          </w:rPr>
          <m:t>=0.33429</m:t>
        </m:r>
      </m:oMath>
      <w:r>
        <w:rPr>
          <w:rFonts w:eastAsia="Times New Roman" w:cs="Times New Roman"/>
        </w:rPr>
        <w:t>, an out-of-plane one-magnon bandwidth of 4.384 microelectronvolt, and an M4–M3 critical-field ablation of 0.09527 T. The source reports 4.4 microelectronvolt</w:t>
      </w:r>
      <w:r>
        <w:rPr>
          <w:rFonts w:eastAsia="Times New Roman" w:cs="Times New Roman"/>
        </w:rPr>
        <w:t xml:space="preserve"> for the same bandwidth.</w:t>
      </w:r>
    </w:p>
    <w:p w14:paraId="74529E80" w14:textId="5DCD658E" w:rsidR="00FE5CF5" w:rsidRDefault="00F3169B">
      <w:pPr>
        <w:jc w:val="both"/>
      </w:pPr>
      <w:r>
        <w:rPr>
          <w:rFonts w:eastAsia="Times New Roman" w:cs="Times New Roman"/>
        </w:rPr>
        <w:t xml:space="preserve">Twelve of the 375 deterministic stress-grid points satisfy the public near-saturation propagation-vector constraints. Their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oMath>
      <w:r>
        <w:rPr>
          <w:rFonts w:eastAsia="Times New Roman" w:cs="Times New Roman"/>
        </w:rPr>
        <w:t xml:space="preserve"> values span 0.02418–0.02525, folded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oMath>
      <w:r>
        <w:rPr>
          <w:rFonts w:eastAsia="Times New Roman" w:cs="Times New Roman"/>
        </w:rPr>
        <w:t xml:space="preserve"> spans 0.32367–0.33573, and out-of-plane bandwidth spans 3.4</w:t>
      </w:r>
      <w:r>
        <w:rPr>
          <w:rFonts w:eastAsia="Times New Roman" w:cs="Times New Roman"/>
        </w:rPr>
        <w:t>84–5.280 microelectronvolt. Independent five-seed verification reclassifies none of the 12 models and reproduces the selected mode in at least three starts. Most parameter combinations are therefore rejected by an observable that was not used in the refrig</w:t>
      </w:r>
      <w:r>
        <w:rPr>
          <w:rFonts w:eastAsia="Times New Roman" w:cs="Times New Roman"/>
        </w:rPr>
        <w:t>erator calculation.</w:t>
      </w:r>
    </w:p>
    <w:p w14:paraId="209787E4" w14:textId="0175CF3C" w:rsidR="00FE5CF5" w:rsidRDefault="00F3169B">
      <w:pPr>
        <w:jc w:val="both"/>
      </w:pPr>
      <w:r>
        <w:rPr>
          <w:rFonts w:eastAsia="Times New Roman" w:cs="Times New Roman"/>
        </w:rPr>
        <w:t xml:space="preserve">Constraint attribution shows which experiment supplies that rejection. The K–M-line residual accepts all 375 grid points, the in-plane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oMath>
      <w:r>
        <w:rPr>
          <w:rFonts w:eastAsia="Times New Roman" w:cs="Times New Roman"/>
        </w:rPr>
        <w:t xml:space="preserve"> band accepts 338, and the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oMath>
      <w:r>
        <w:rPr>
          <w:rFonts w:eastAsia="Times New Roman" w:cs="Times New Roman"/>
        </w:rPr>
        <w:t xml:space="preserve"> band accepts only 12; combining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oMath>
      <w:r>
        <w:rPr>
          <w:rFonts w:eastAsia="Times New Roman" w:cs="Times New Roman"/>
        </w:rPr>
        <w:t xml:space="preserve"> and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oMath>
      <w:r>
        <w:rPr>
          <w:rFonts w:eastAsia="Times New Roman" w:cs="Times New Roman"/>
        </w:rPr>
        <w:t xml:space="preserve"> leaves the same</w:t>
      </w:r>
      <w:r>
        <w:rPr>
          <w:rFonts w:eastAsia="Times New Roman" w:cs="Times New Roman"/>
        </w:rPr>
        <w:t xml:space="preserve"> 12. None of the 18 one-coordinate outward extensions of retained edge points passes all three conditions. Thus the accepted set does not visibly continue through an original grid face, although the local audit does not rule out disconnected solutions or s</w:t>
      </w:r>
      <w:r>
        <w:rPr>
          <w:rFonts w:eastAsia="Times New Roman" w:cs="Times New Roman"/>
        </w:rPr>
        <w:t>imultaneous multi-parameter extensions.</w:t>
      </w:r>
    </w:p>
    <w:p w14:paraId="7045052D" w14:textId="5A465D60" w:rsidR="00FE5CF5" w:rsidRDefault="00F3169B">
      <w:pPr>
        <w:jc w:val="both"/>
      </w:pPr>
      <w:r>
        <w:rPr>
          <w:rFonts w:eastAsia="Times New Roman" w:cs="Times New Roman"/>
        </w:rPr>
        <w:t xml:space="preserve">The retained models produce M4–M3 critical-field ablations of 0.05365–0.16365 T. With the central transported heat shape, 42 of 48 anchor/mapping cases cross both engineering gates at 90 mK; the full ranges are </w:t>
      </w:r>
      <m:oMath>
        <m:r>
          <m:rPr>
            <m:sty m:val="p"/>
          </m:rPr>
          <w:rPr>
            <w:rFonts w:ascii="Cambria Math" w:hAnsi="Cambria Math"/>
          </w:rPr>
          <m:t xml:space="preserve">Δ </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r>
          <m:rPr>
            <m:sty m:val="p"/>
          </m:rPr>
          <w:rPr>
            <w:rFonts w:ascii="Cambria Math" w:hAnsi="Cambria Math"/>
          </w:rPr>
          <m:t>=0.04589</m:t>
        </m:r>
      </m:oMath>
      <w:r>
        <w:rPr>
          <w:rFonts w:eastAsia="Times New Roman" w:cs="Times New Roman"/>
        </w:rPr>
        <w:t xml:space="preserve">–0.16365 T and regret </w:t>
      </w:r>
      <m:oMath>
        <m:r>
          <m:rPr>
            <m:sty m:val="p"/>
          </m:rPr>
          <w:rPr>
            <w:rFonts w:ascii="Cambria Math" w:hAnsi="Cambria Math"/>
          </w:rPr>
          <m:t>=3.81</m:t>
        </m:r>
      </m:oMath>
      <w:r>
        <w:rPr>
          <w:rFonts w:eastAsia="Times New Roman" w:cs="Times New Roman"/>
        </w:rPr>
        <w:t>–20.44%. The six failures show directly that the propagation vector alone cannot guarantee a threshold-crossing refrigerator correction. The published representative set lies inside the constrained set but is not a uniq</w:t>
      </w:r>
      <w:r>
        <w:rPr>
          <w:rFonts w:eastAsia="Times New Roman" w:cs="Times New Roman"/>
        </w:rPr>
        <w:t>ue basis for the decision.</w:t>
      </w:r>
    </w:p>
    <w:p w14:paraId="22E476E7" w14:textId="77777777" w:rsidR="00FE5CF5" w:rsidRDefault="00F3169B">
      <w:pPr>
        <w:keepNext/>
        <w:spacing w:before="80" w:after="40"/>
        <w:jc w:val="center"/>
      </w:pPr>
      <w:r>
        <w:rPr>
          <w:noProof/>
        </w:rPr>
        <w:drawing>
          <wp:inline distT="0" distB="0" distL="0" distR="0" wp14:anchorId="5BC29A1A" wp14:editId="539EB33B">
            <wp:extent cx="6172200" cy="1800225"/>
            <wp:effectExtent l="0" t="0" r="0" b="0"/>
            <wp:docPr id="2" name="Picture 2" descr="Public propagation-vector constrained interlayer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layer_parameter_ensemble.png"/>
                    <pic:cNvPicPr/>
                  </pic:nvPicPr>
                  <pic:blipFill>
                    <a:blip r:embed="rId9"/>
                    <a:stretch>
                      <a:fillRect/>
                    </a:stretch>
                  </pic:blipFill>
                  <pic:spPr>
                    <a:xfrm>
                      <a:off x="0" y="0"/>
                      <a:ext cx="6172200" cy="1800225"/>
                    </a:xfrm>
                    <a:prstGeom prst="rect">
                      <a:avLst/>
                    </a:prstGeom>
                  </pic:spPr>
                </pic:pic>
              </a:graphicData>
            </a:graphic>
          </wp:inline>
        </w:drawing>
      </w:r>
    </w:p>
    <w:p w14:paraId="31B23098" w14:textId="77777777" w:rsidR="00FE5CF5" w:rsidRDefault="00F3169B">
      <w:pPr>
        <w:pStyle w:val="af0"/>
      </w:pPr>
      <w:r>
        <w:rPr>
          <w:rFonts w:eastAsia="Times New Roman" w:cs="Times New Roman"/>
        </w:rPr>
        <w:t>Figure 2.</w:t>
      </w:r>
      <w:r>
        <w:rPr>
          <w:rFonts w:eastAsia="Times New Roman" w:cs="Times New Roman"/>
          <w:b w:val="0"/>
        </w:rPr>
        <w:t xml:space="preserve"> (a) Soft modes of all 375 grid points. Colored points satisfy the public in-plane and out-of-plane propagation-vector bands; gray points fail at least one condition. (b) The 90 mK decision effects of the 12 retained models under two measured critical-fiel</w:t>
      </w:r>
      <w:r>
        <w:rPr>
          <w:rFonts w:eastAsia="Times New Roman" w:cs="Times New Roman"/>
          <w:b w:val="0"/>
        </w:rPr>
        <w:t>d anchors and two transport mappings; 42 of 48 cases cross both gates. (c) The retained critical-field ablations; the dashed line marks the published representative set. Grid fractions are descriptive coverage, not probabilities.</w:t>
      </w:r>
    </w:p>
    <w:p w14:paraId="1BFF054C" w14:textId="609F8F7B" w:rsidR="00FE5CF5" w:rsidRDefault="00F3169B">
      <w:pPr>
        <w:jc w:val="both"/>
      </w:pPr>
      <w:r>
        <w:rPr>
          <w:rFonts w:eastAsia="Times New Roman" w:cs="Times New Roman"/>
          <w:b/>
        </w:rPr>
        <w:t>Expanded simultaneous-vari</w:t>
      </w:r>
      <w:r>
        <w:rPr>
          <w:rFonts w:eastAsia="Times New Roman" w:cs="Times New Roman"/>
          <w:b/>
        </w:rPr>
        <w:t>ation audit.</w:t>
      </w:r>
      <w:r>
        <w:rPr>
          <w:rFonts w:eastAsia="Times New Roman" w:cs="Times New Roman"/>
        </w:rPr>
        <w:t xml:space="preserve"> The broader 256-point Sobol design retains four models. Two lie outside the original parameter box. Their critical-field ablations span 0.07260–0.14757 T. All 16 central anchor/mapping cases cross both gates, with </w:t>
      </w:r>
      <m:oMath>
        <m:r>
          <m:rPr>
            <m:sty m:val="p"/>
          </m:rPr>
          <w:rPr>
            <w:rFonts w:ascii="Cambria Math" w:hAnsi="Cambria Math"/>
          </w:rPr>
          <m:t xml:space="preserve">Δ </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r>
          <m:rPr>
            <m:sty m:val="p"/>
          </m:rPr>
          <w:rPr>
            <w:rFonts w:ascii="Cambria Math" w:hAnsi="Cambria Math"/>
          </w:rPr>
          <m:t>=0.06210</m:t>
        </m:r>
      </m:oMath>
      <w:r>
        <w:rPr>
          <w:rFonts w:eastAsia="Times New Roman" w:cs="Times New Roman"/>
        </w:rPr>
        <w:t>–0.14757 T and</w:t>
      </w:r>
      <w:r>
        <w:rPr>
          <w:rFonts w:eastAsia="Times New Roman" w:cs="Times New Roman"/>
        </w:rPr>
        <w:t xml:space="preserve"> regret </w:t>
      </w:r>
      <m:oMath>
        <m:r>
          <m:rPr>
            <m:sty m:val="p"/>
          </m:rPr>
          <w:rPr>
            <w:rFonts w:ascii="Cambria Math" w:hAnsi="Cambria Math"/>
          </w:rPr>
          <m:t>=5.68</m:t>
        </m:r>
      </m:oMath>
      <w:r>
        <w:rPr>
          <w:rFonts w:eastAsia="Times New Roman" w:cs="Times New Roman"/>
        </w:rPr>
        <w:t>–18.33%. Independent five-seed verification reproduces every selected mode in at least four starts. This result shows that simultaneous variations can cross the local box, but it does not establish the extrema of the admissible set.</w:t>
      </w:r>
    </w:p>
    <w:p w14:paraId="217AF26D" w14:textId="2F2E6F75" w:rsidR="00FE5CF5" w:rsidRDefault="00F3169B">
      <w:pPr>
        <w:jc w:val="both"/>
      </w:pPr>
      <w:r>
        <w:rPr>
          <w:rFonts w:eastAsia="Times New Roman" w:cs="Times New Roman"/>
          <w:b/>
        </w:rPr>
        <w:t>Adaptive inverse audit.</w:t>
      </w:r>
      <w:r>
        <w:rPr>
          <w:rFonts w:eastAsia="Times New Roman" w:cs="Times New Roman"/>
        </w:rPr>
        <w:t xml:space="preserve"> Starting from all 631 local and Sobol evaluations, three acquisition rounds add 192 exact calculations. Fifty-three new models pass the public-(q) constraints, giving 69 retained models among 823 exact evaluations; 52 of the 69 lie </w:t>
      </w:r>
      <w:r>
        <w:rPr>
          <w:rFonts w:eastAsia="Times New Roman" w:cs="Times New Roman"/>
        </w:rPr>
        <w:t>outside the original local box. The retained M4–M3 shifts span 0.03340–0.20211 T. The last round changes the minimum and maximum by −0.00228 and +0.00078 T, respectively. Five independent optimizer starts reproduce both extremal shifts and retain their pub</w:t>
      </w:r>
      <w:r>
        <w:rPr>
          <w:rFonts w:eastAsia="Times New Roman" w:cs="Times New Roman"/>
        </w:rPr>
        <w:t xml:space="preserve">lic-(q) classifications. The 69 models generate 276 central anchor/mapping cases; 224 cross both gates, while the full ranges are </w:t>
      </w:r>
      <m:oMath>
        <m:r>
          <m:rPr>
            <m:sty m:val="p"/>
          </m:rPr>
          <w:rPr>
            <w:rFonts w:ascii="Cambria Math" w:hAnsi="Cambria Math"/>
          </w:rPr>
          <m:t xml:space="preserve">Δ </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r>
          <m:rPr>
            <m:sty m:val="p"/>
          </m:rPr>
          <w:rPr>
            <w:rFonts w:ascii="Cambria Math" w:hAnsi="Cambria Math"/>
          </w:rPr>
          <m:t>=0.02857</m:t>
        </m:r>
      </m:oMath>
      <w:r>
        <w:rPr>
          <w:rFonts w:eastAsia="Times New Roman" w:cs="Times New Roman"/>
        </w:rPr>
        <w:t xml:space="preserve">–0.20211 T and regret </w:t>
      </w:r>
      <m:oMath>
        <m:r>
          <m:rPr>
            <m:sty m:val="p"/>
          </m:rPr>
          <w:rPr>
            <w:rFonts w:ascii="Cambria Math" w:hAnsi="Cambria Math"/>
          </w:rPr>
          <m:t>=1.86</m:t>
        </m:r>
      </m:oMath>
      <w:r>
        <w:rPr>
          <w:rFonts w:eastAsia="Times New Roman" w:cs="Times New Roman"/>
        </w:rPr>
        <w:t>–27.41%. Thus the initial local and Sobol designs both understate the decision range</w:t>
      </w:r>
      <w:r>
        <w:rPr>
          <w:rFonts w:eastAsia="Times New Roman" w:cs="Times New Roman"/>
        </w:rPr>
        <w:t>.</w:t>
      </w:r>
    </w:p>
    <w:p w14:paraId="04B313D2" w14:textId="77777777" w:rsidR="00FE5CF5" w:rsidRDefault="00F3169B">
      <w:pPr>
        <w:keepNext/>
        <w:spacing w:before="80" w:after="40"/>
        <w:jc w:val="center"/>
      </w:pPr>
      <w:r>
        <w:rPr>
          <w:noProof/>
        </w:rPr>
        <w:drawing>
          <wp:inline distT="0" distB="0" distL="0" distR="0" wp14:anchorId="0A4ECBD5" wp14:editId="0BEE655A">
            <wp:extent cx="6172200" cy="1769364"/>
            <wp:effectExtent l="0" t="0" r="0" b="0"/>
            <wp:docPr id="3" name="Picture 3" descr="Adaptive set-valued interlayer inverse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layer_adaptive_inverse_uq.png"/>
                    <pic:cNvPicPr/>
                  </pic:nvPicPr>
                  <pic:blipFill>
                    <a:blip r:embed="rId10"/>
                    <a:stretch>
                      <a:fillRect/>
                    </a:stretch>
                  </pic:blipFill>
                  <pic:spPr>
                    <a:xfrm>
                      <a:off x="0" y="0"/>
                      <a:ext cx="6172200" cy="1769364"/>
                    </a:xfrm>
                    <a:prstGeom prst="rect">
                      <a:avLst/>
                    </a:prstGeom>
                  </pic:spPr>
                </pic:pic>
              </a:graphicData>
            </a:graphic>
          </wp:inline>
        </w:drawing>
      </w:r>
    </w:p>
    <w:p w14:paraId="650C190F" w14:textId="1B0655A1" w:rsidR="00FE5CF5" w:rsidRDefault="00F3169B">
      <w:pPr>
        <w:pStyle w:val="af0"/>
      </w:pPr>
      <w:r>
        <w:rPr>
          <w:rFonts w:eastAsia="Times New Roman" w:cs="Times New Roman"/>
        </w:rPr>
        <w:t>Figure 3.</w:t>
      </w:r>
      <w:r>
        <w:rPr>
          <w:rFonts w:eastAsia="Times New Roman" w:cs="Times New Roman"/>
          <w:b w:val="0"/>
        </w:rPr>
        <w:t xml:space="preserve"> (a) Principal-coordinate view of the 631 initial and 192 adaptively selected exact M4 calculations. (b) Folded </w:t>
      </w:r>
      <m:oMath>
        <m:sSub>
          <m:sSubPr>
            <m:ctrlPr>
              <w:rPr>
                <w:rFonts w:ascii="Cambria Math" w:hAnsi="Cambria Math"/>
              </w:rPr>
            </m:ctrlPr>
          </m:sSubPr>
          <m:e>
            <m:r>
              <m:rPr>
                <m:sty m:val="b"/>
              </m:rPr>
              <w:rPr>
                <w:rFonts w:ascii="Cambria Math" w:hAnsi="Cambria Math"/>
              </w:rPr>
              <m:t>q</m:t>
            </m:r>
          </m:e>
          <m:sub>
            <m:r>
              <m:rPr>
                <m:sty m:val="b"/>
              </m:rPr>
              <w:rPr>
                <w:rFonts w:ascii="Cambria Math" w:hAnsi="Cambria Math"/>
              </w:rPr>
              <m:t>z</m:t>
            </m:r>
          </m:sub>
        </m:sSub>
      </m:oMath>
      <w:r>
        <w:rPr>
          <w:rFonts w:eastAsia="Times New Roman" w:cs="Times New Roman"/>
          <w:b w:val="0"/>
        </w:rPr>
        <w:t xml:space="preserve"> and critical-field shift; black rings mark the 69 models satisfying every public propagation-vector constraint. (c) Retained </w:t>
      </w:r>
      <w:r>
        <w:rPr>
          <w:rFonts w:eastAsia="Times New Roman" w:cs="Times New Roman"/>
          <w:b w:val="0"/>
        </w:rPr>
        <w:t>extrema and model count across the three adaptive rounds. The surrogate selects coordinates only; all plotted physical values are exact multistart calculations.</w:t>
      </w:r>
    </w:p>
    <w:p w14:paraId="1C2A3004" w14:textId="087CFBDC" w:rsidR="00FE5CF5" w:rsidRDefault="00F3169B">
      <w:pPr>
        <w:jc w:val="both"/>
      </w:pPr>
      <w:r>
        <w:rPr>
          <w:rFonts w:eastAsia="Times New Roman" w:cs="Times New Roman"/>
          <w:b/>
        </w:rPr>
        <w:t>Field-dependent fan holdout.</w:t>
      </w:r>
      <w:r>
        <w:rPr>
          <w:rFonts w:eastAsia="Times New Roman" w:cs="Times New Roman"/>
        </w:rPr>
        <w:t xml:space="preserve"> For all 69 retained models, the fan solution at </w:t>
      </w:r>
      <m:oMath>
        <m:r>
          <m:rPr>
            <m:sty m:val="p"/>
          </m:rPr>
          <w:rPr>
            <w:rFonts w:ascii="Cambria Math" w:hAnsi="Cambria Math"/>
          </w:rPr>
          <m:t>0.999</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rPr>
        <w:t xml:space="preserve"> agrees </w:t>
      </w:r>
      <w:r>
        <w:rPr>
          <w:rFonts w:eastAsia="Times New Roman" w:cs="Times New Roman"/>
        </w:rPr>
        <w:t xml:space="preserve">with the independent soft-mode incommensuration within 0.000155 reciprocal-lattice units and </w:t>
      </w:r>
      <m:oMath>
        <m:r>
          <m:rPr>
            <m:sty m:val="p"/>
          </m:rPr>
          <w:rPr>
            <w:rFonts w:ascii="Cambria Math" w:hAnsi="Cambria Math"/>
          </w:rPr>
          <m:t>δ</m:t>
        </m:r>
        <m:d>
          <m:dPr>
            <m:ctrlPr>
              <w:rPr>
                <w:rFonts w:ascii="Cambria Math" w:hAnsi="Cambria Math"/>
              </w:rPr>
            </m:ctrlPr>
          </m:dPr>
          <m:e>
            <m:r>
              <m:rPr>
                <m:sty m:val="p"/>
              </m:rPr>
              <w:rPr>
                <w:rFonts w:ascii="Cambria Math" w:hAnsi="Cambria Math"/>
              </w:rPr>
              <m:t>H</m:t>
            </m:r>
          </m:e>
        </m:d>
      </m:oMath>
      <w:r>
        <w:rPr>
          <w:rFonts w:eastAsia="Times New Roman" w:cs="Times New Roman"/>
        </w:rPr>
        <w:t xml:space="preserve"> is monotone over the declared fan window. The four lower-field points are more discriminating. Their mean absolute error spans 0.00420–0.00531 reciprocal-latt</w:t>
      </w:r>
      <w:r>
        <w:rPr>
          <w:rFonts w:eastAsia="Times New Roman" w:cs="Times New Roman"/>
        </w:rPr>
        <w:t xml:space="preserve">ice units, and every retained model evolves more slowly than the experiment at the lowest holdout field. The holdout error increases strongly with the M4–M3 critical-field shift (Spearman </w:t>
      </w:r>
      <m:oMath>
        <m:r>
          <m:rPr>
            <m:sty m:val="p"/>
          </m:rPr>
          <w:rPr>
            <w:rFonts w:ascii="Cambria Math" w:hAnsi="Cambria Math"/>
          </w:rPr>
          <m:t>ρ=0.940</m:t>
        </m:r>
      </m:oMath>
      <w:r>
        <w:rPr>
          <w:rFonts w:eastAsia="Times New Roman" w:cs="Times New Roman"/>
        </w:rPr>
        <w:t>). Thus the largest predicted refrigerator corrections are al</w:t>
      </w:r>
      <w:r>
        <w:rPr>
          <w:rFonts w:eastAsia="Times New Roman" w:cs="Times New Roman"/>
        </w:rPr>
        <w:t>so the least compatible with the unused field dependence within this mean-field family.</w:t>
      </w:r>
    </w:p>
    <w:p w14:paraId="1980BB95" w14:textId="73C28D0E" w:rsidR="00FE5CF5" w:rsidRDefault="00F3169B">
      <w:pPr>
        <w:jc w:val="both"/>
      </w:pPr>
      <w:r>
        <w:rPr>
          <w:rFonts w:eastAsia="Times New Roman" w:cs="Times New Roman"/>
        </w:rPr>
        <w:t>Twenty-three models have a holdout error no larger than the published representative set. Their shifts span 0.03340–0.10730 T; 40 of 92 rigid-profile central cases cros</w:t>
      </w:r>
      <w:r>
        <w:rPr>
          <w:rFonts w:eastAsia="Times New Roman" w:cs="Times New Roman"/>
        </w:rPr>
        <w:t>s both engineering gates, but none of their 92 correlated microscopic-template cases does. These counts show the decision consequence of the field-dependent ranking, but they are not used to replace the full 69-model envelope because the published represen</w:t>
      </w:r>
      <w:r>
        <w:rPr>
          <w:rFonts w:eastAsia="Times New Roman" w:cs="Times New Roman"/>
        </w:rPr>
        <w:t xml:space="preserve">tative itself has a documented systematic curve mismatch. A quantitative reduction of the design set requires raw reduced diffraction values together with </w:t>
      </w:r>
      <m:oMath>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z</m:t>
                </m:r>
              </m:e>
            </m:d>
            <m:d>
              <m:dPr>
                <m:ctrlPr>
                  <w:rPr>
                    <w:rFonts w:ascii="Cambria Math" w:hAnsi="Cambria Math"/>
                  </w:rPr>
                </m:ctrlPr>
              </m:dPr>
              <m:e>
                <m:r>
                  <m:rPr>
                    <m:sty m:val="p"/>
                  </m:rPr>
                  <w:rPr>
                    <w:rFonts w:ascii="Cambria Math" w:hAnsi="Cambria Math"/>
                  </w:rPr>
                  <m:t>H</m:t>
                </m:r>
              </m:e>
            </m:d>
          </m:sub>
        </m:sSub>
      </m:oMath>
      <w:r>
        <w:rPr>
          <w:rFonts w:eastAsia="Times New Roman" w:cs="Times New Roman"/>
        </w:rPr>
        <w:t xml:space="preserve"> and phase-boundary energies.</w:t>
      </w:r>
    </w:p>
    <w:p w14:paraId="7AA90A75" w14:textId="77777777" w:rsidR="00FE5CF5" w:rsidRDefault="00F3169B">
      <w:pPr>
        <w:keepNext/>
        <w:spacing w:before="80" w:after="40"/>
        <w:jc w:val="center"/>
      </w:pPr>
      <w:r>
        <w:rPr>
          <w:noProof/>
        </w:rPr>
        <w:drawing>
          <wp:inline distT="0" distB="0" distL="0" distR="0" wp14:anchorId="53B2DF4C" wp14:editId="102D49E5">
            <wp:extent cx="6172200" cy="2314575"/>
            <wp:effectExtent l="0" t="0" r="0" b="0"/>
            <wp:docPr id="4" name="Picture 4" descr="Field-dependent fan-curve hol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n_curve_holdout_audit.png"/>
                    <pic:cNvPicPr/>
                  </pic:nvPicPr>
                  <pic:blipFill>
                    <a:blip r:embed="rId11"/>
                    <a:stretch>
                      <a:fillRect/>
                    </a:stretch>
                  </pic:blipFill>
                  <pic:spPr>
                    <a:xfrm>
                      <a:off x="0" y="0"/>
                      <a:ext cx="6172200" cy="2314575"/>
                    </a:xfrm>
                    <a:prstGeom prst="rect">
                      <a:avLst/>
                    </a:prstGeom>
                  </pic:spPr>
                </pic:pic>
              </a:graphicData>
            </a:graphic>
          </wp:inline>
        </w:drawing>
      </w:r>
    </w:p>
    <w:p w14:paraId="420327B6" w14:textId="77777777" w:rsidR="00FE5CF5" w:rsidRDefault="00F3169B">
      <w:pPr>
        <w:pStyle w:val="af0"/>
      </w:pPr>
      <w:r>
        <w:rPr>
          <w:rFonts w:eastAsia="Times New Roman" w:cs="Times New Roman"/>
        </w:rPr>
        <w:t>Figure 4.</w:t>
      </w:r>
      <w:r>
        <w:rPr>
          <w:rFonts w:eastAsia="Times New Roman" w:cs="Times New Roman"/>
          <w:b w:val="0"/>
        </w:rPr>
        <w:t xml:space="preserve"> (a) Fan incommensuration curves for all 69 public-</w:t>
      </w:r>
      <m:oMath>
        <m:r>
          <m:rPr>
            <m:sty m:val="b"/>
          </m:rPr>
          <w:rPr>
            <w:rFonts w:ascii="Cambria Math" w:hAnsi="Cambria Math"/>
          </w:rPr>
          <m:t>q</m:t>
        </m:r>
      </m:oMath>
      <w:r>
        <w:rPr>
          <w:rFonts w:eastAsia="Times New Roman" w:cs="Times New Roman"/>
          <w:b w:val="0"/>
        </w:rPr>
        <w:t xml:space="preserve">-retained M4 models, colored by their critical-field shifts, compared with the digitized diffraction curve. (b) Four-point lower-field holdout error versus the engineering critical-field shift. The dashed line is the published representative model, not an </w:t>
      </w:r>
      <w:r>
        <w:rPr>
          <w:rFonts w:eastAsia="Times New Roman" w:cs="Times New Roman"/>
          <w:b w:val="0"/>
        </w:rPr>
        <w:t>experimental acceptance threshold.</w:t>
      </w:r>
    </w:p>
    <w:p w14:paraId="0E1738AD" w14:textId="17C3AD2A" w:rsidR="00FE5CF5" w:rsidRDefault="00F3169B">
      <w:pPr>
        <w:jc w:val="both"/>
      </w:pPr>
      <w:r>
        <w:rPr>
          <w:rFonts w:eastAsia="Times New Roman" w:cs="Times New Roman"/>
          <w:b/>
        </w:rPr>
        <w:t>Independent public-INS bandwidth and linewidth audit.</w:t>
      </w:r>
      <w:r>
        <w:rPr>
          <w:rFonts w:eastAsia="Times New Roman" w:cs="Times New Roman"/>
        </w:rPr>
        <w:t xml:space="preserve"> The public 3.5 T source calculation has an 18.048 microelectronvolt bandwidth on each twin branch. Recalculation from its published equations agrees with the archived </w:t>
      </w:r>
      <w:r>
        <w:rPr>
          <w:rFonts w:eastAsia="Times New Roman" w:cs="Times New Roman"/>
        </w:rPr>
        <w:t xml:space="preserve">curves to </w:t>
      </w:r>
      <m:oMath>
        <m:r>
          <m:rPr>
            <m:sty m:val="p"/>
          </m:rPr>
          <w:rPr>
            <w:rFonts w:ascii="Cambria Math" w:hAnsi="Cambria Math"/>
          </w:rPr>
          <m:t>3.71×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rPr>
          <w:rFonts w:eastAsia="Times New Roman" w:cs="Times New Roman"/>
        </w:rPr>
        <w:t xml:space="preserve"> meV after branch permutation. As a separate implementation check, our representative M4 calculation gives 4.384 microelectronvolt along </w:t>
      </w:r>
      <m:oMath>
        <m:d>
          <m:dPr>
            <m:ctrlPr>
              <w:rPr>
                <w:rFonts w:ascii="Cambria Math" w:hAnsi="Cambria Math"/>
              </w:rPr>
            </m:ctrlPr>
          </m:dPr>
          <m:e>
            <m:r>
              <m:rPr>
                <m:sty m:val="p"/>
              </m:rPr>
              <w:rPr>
                <w:rFonts w:ascii="Cambria Math" w:hAnsi="Cambria Math"/>
              </w:rPr>
              <m:t>00l</m:t>
            </m:r>
          </m:e>
        </m:d>
      </m:oMath>
      <w:r>
        <w:rPr>
          <w:rFonts w:eastAsia="Times New Roman" w:cs="Times New Roman"/>
        </w:rPr>
        <w:t xml:space="preserve"> for axial polarization, compared with the source value of 4.4 microelectronvolt.</w:t>
      </w:r>
    </w:p>
    <w:p w14:paraId="2BE60A3C" w14:textId="6F31992F" w:rsidR="00FE5CF5" w:rsidRDefault="00F3169B">
      <w:pPr>
        <w:jc w:val="both"/>
      </w:pPr>
      <w:r>
        <w:rPr>
          <w:rFonts w:eastAsia="Times New Roman" w:cs="Times New Roman"/>
        </w:rPr>
        <w:t>Across the</w:t>
      </w:r>
      <w:r>
        <w:rPr>
          <w:rFonts w:eastAsia="Times New Roman" w:cs="Times New Roman"/>
        </w:rPr>
        <w:t xml:space="preserve"> 69 diffraction-compatible models, the maximum transverse-field bandwidth over the two domain paths spans 10.1767–29.8298 microelectronvolt. Thirty models lie at or below the 18.048 microelectronvolt reference and 39 lie above it. The same 30 pass at every</w:t>
      </w:r>
      <w:r>
        <w:rPr>
          <w:rFonts w:eastAsia="Times New Roman" w:cs="Times New Roman"/>
        </w:rPr>
        <w:t xml:space="preserve"> matched one-standard-deviation corner of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z</m:t>
            </m:r>
          </m:sub>
        </m:sSub>
      </m:oMath>
      <w:r>
        <w:rPr>
          <w:rFonts w:eastAsia="Times New Roman" w:cs="Times New Roman"/>
        </w:rPr>
        <w:t xml:space="preserve">,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xy</m:t>
            </m:r>
          </m:sub>
        </m:sSub>
      </m:oMath>
      <w:r>
        <w:rPr>
          <w:rFonts w:eastAsia="Times New Roman" w:cs="Times New Roman"/>
        </w:rPr>
        <w:t xml:space="preserve">, and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ab</m:t>
            </m:r>
          </m:sub>
        </m:sSub>
      </m:oMath>
      <w:r>
        <w:rPr>
          <w:rFonts w:eastAsia="Times New Roman" w:cs="Times New Roman"/>
        </w:rPr>
        <w:t xml:space="preserve">. Bandwidth and critical-field shift are strongly associated (Spearman </w:t>
      </w:r>
      <m:oMath>
        <m:r>
          <m:rPr>
            <m:sty m:val="p"/>
          </m:rPr>
          <w:rPr>
            <w:rFonts w:ascii="Cambria Math" w:hAnsi="Cambria Math"/>
          </w:rPr>
          <m:t>ρ=0.882</m:t>
        </m:r>
      </m:oMath>
      <w:r>
        <w:rPr>
          <w:rFonts w:eastAsia="Times New Roman" w:cs="Times New Roman"/>
        </w:rPr>
        <w:t xml:space="preserve">); the spectroscopy-compatible sensitivity subset has </w:t>
      </w:r>
      <m:oMath>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r>
          <m:rPr>
            <m:sty m:val="p"/>
          </m:rPr>
          <w:rPr>
            <w:rFonts w:ascii="Cambria Math" w:hAnsi="Cambria Math"/>
          </w:rPr>
          <m:t>=0.03340</m:t>
        </m:r>
      </m:oMath>
      <w:r>
        <w:rPr>
          <w:rFonts w:eastAsia="Times New Roman" w:cs="Times New Roman"/>
        </w:rPr>
        <w:t xml:space="preserve">–0.14757 T, compared with 0.03340–0.20211 </w:t>
      </w:r>
      <w:r>
        <w:rPr>
          <w:rFonts w:eastAsia="Times New Roman" w:cs="Times New Roman"/>
        </w:rPr>
        <w:t>T for all 69 models. Its rigid-profile central cases pass both gates in 68 of 120 cases, whereas only 4 of 120 correlated microscopic-template cases do. This sensitivity rule therefore trims the high-effect tail without restoring a one-to-one critical-fiel</w:t>
      </w:r>
      <w:r>
        <w:rPr>
          <w:rFonts w:eastAsia="Times New Roman" w:cs="Times New Roman"/>
        </w:rPr>
        <w:t>d transfer. Because the source bound is explicitly indicative, these 30 models do not replace the full 69-model design set.</w:t>
      </w:r>
    </w:p>
    <w:p w14:paraId="33235AEB" w14:textId="55A6D95F" w:rsidR="00FE5CF5" w:rsidRDefault="00F3169B">
      <w:pPr>
        <w:jc w:val="both"/>
      </w:pPr>
      <w:r>
        <w:rPr>
          <w:rFonts w:eastAsia="Times New Roman" w:cs="Times New Roman"/>
        </w:rPr>
        <w:t xml:space="preserve">The direct linewidth comparison prevents a stronger claim. With the source equal-twin coefficient fixed, 66 of 69 models have </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oMath>
      <w:r>
        <w:rPr>
          <w:rFonts w:eastAsia="Times New Roman" w:cs="Times New Roman"/>
        </w:rPr>
        <w:t xml:space="preserve"> no larger than the source curve's 28.35. Profiling the unresolved twin mixture reduces the M4 range to </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r>
          <m:rPr>
            <m:sty m:val="p"/>
          </m:rPr>
          <w:rPr>
            <w:rFonts w:ascii="Cambria Math" w:hAnsi="Cambria Math"/>
          </w:rPr>
          <m:t>=21.36</m:t>
        </m:r>
      </m:oMath>
      <w:r>
        <w:rPr>
          <w:rFonts w:eastAsia="Times New Roman" w:cs="Times New Roman"/>
        </w:rPr>
        <w:t>–26.74, so all 69 are no worse than the source curve and the full 0.03340–0.20211 T shift range survives. The maximum profile-</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oMath>
      <w:r>
        <w:rPr>
          <w:rFonts w:eastAsia="Times New Roman" w:cs="Times New Roman"/>
        </w:rPr>
        <w:t xml:space="preserve"> diff</w:t>
      </w:r>
      <w:r>
        <w:rPr>
          <w:rFonts w:eastAsia="Times New Roman" w:cs="Times New Roman"/>
        </w:rPr>
        <w:t xml:space="preserve">erence across models is only 5.38, and the profiled score does not preferentially reject the high-shift tail (Spearman </w:t>
      </w:r>
      <m:oMath>
        <m:r>
          <m:rPr>
            <m:sty m:val="p"/>
          </m:rPr>
          <w:rPr>
            <w:rFonts w:ascii="Cambria Math" w:hAnsi="Cambria Math"/>
          </w:rPr>
          <m:t>ρ=-0.276</m:t>
        </m:r>
      </m:oMath>
      <w:r>
        <w:rPr>
          <w:rFonts w:eastAsia="Times New Roman" w:cs="Times New Roman"/>
        </w:rPr>
        <w:t xml:space="preserve">). Thus the 30-model set is a useful what-if envelope under the author's indicative bandwidth rule, while the more direct public </w:t>
      </w:r>
      <w:r>
        <w:rPr>
          <w:rFonts w:eastAsia="Times New Roman" w:cs="Times New Roman"/>
        </w:rPr>
        <w:t>linewidth observable provides no calibrated reason to remove 39 models.</w:t>
      </w:r>
    </w:p>
    <w:p w14:paraId="6E63A8E8" w14:textId="77777777" w:rsidR="00FE5CF5" w:rsidRDefault="00F3169B">
      <w:pPr>
        <w:keepNext/>
        <w:spacing w:before="80" w:after="40"/>
        <w:jc w:val="center"/>
      </w:pPr>
      <w:r>
        <w:rPr>
          <w:noProof/>
        </w:rPr>
        <w:drawing>
          <wp:inline distT="0" distB="0" distL="0" distR="0" wp14:anchorId="34787D28" wp14:editId="0D662C65">
            <wp:extent cx="6172200" cy="4347159"/>
            <wp:effectExtent l="0" t="0" r="0" b="0"/>
            <wp:docPr id="5" name="Picture 5" descr="Independent public INS interlayer-bandwidth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ins_interlayer_bandwidth_audit.png"/>
                    <pic:cNvPicPr/>
                  </pic:nvPicPr>
                  <pic:blipFill>
                    <a:blip r:embed="rId12"/>
                    <a:stretch>
                      <a:fillRect/>
                    </a:stretch>
                  </pic:blipFill>
                  <pic:spPr>
                    <a:xfrm>
                      <a:off x="0" y="0"/>
                      <a:ext cx="6172200" cy="4347159"/>
                    </a:xfrm>
                    <a:prstGeom prst="rect">
                      <a:avLst/>
                    </a:prstGeom>
                  </pic:spPr>
                </pic:pic>
              </a:graphicData>
            </a:graphic>
          </wp:inline>
        </w:drawing>
      </w:r>
    </w:p>
    <w:p w14:paraId="0053CDB0" w14:textId="152E557D" w:rsidR="00FE5CF5" w:rsidRDefault="00F3169B">
      <w:pPr>
        <w:pStyle w:val="af0"/>
      </w:pPr>
      <w:r>
        <w:rPr>
          <w:rFonts w:eastAsia="Times New Roman" w:cs="Times New Roman"/>
        </w:rPr>
        <w:t>Figure 5.</w:t>
      </w:r>
      <w:r>
        <w:rPr>
          <w:rFonts w:eastAsia="Times New Roman" w:cs="Times New Roman"/>
          <w:b w:val="0"/>
        </w:rPr>
        <w:t xml:space="preserve"> (a) Public 3.5 T calculated twin branches defining the 18.048 microelectronvolt sensitivity reference. (b) Public linewidth data, the source </w:t>
      </w:r>
      <m:oMath>
        <m:sSub>
          <m:sSubPr>
            <m:ctrlPr>
              <w:rPr>
                <w:rFonts w:ascii="Cambria Math" w:hAnsi="Cambria Math"/>
              </w:rPr>
            </m:ctrlPr>
          </m:sSubPr>
          <m:e>
            <m:r>
              <m:rPr>
                <m:sty m:val="b"/>
              </m:rPr>
              <w:rPr>
                <w:rFonts w:ascii="Cambria Math" w:hAnsi="Cambria Math"/>
              </w:rPr>
              <m:t>J</m:t>
            </m:r>
          </m:e>
          <m:sub>
            <m:r>
              <m:rPr>
                <m:sty m:val="b"/>
              </m:rPr>
              <w:rPr>
                <w:rFonts w:ascii="Cambria Math" w:hAnsi="Cambria Math"/>
              </w:rPr>
              <m:t>b</m:t>
            </m:r>
          </m:sub>
        </m:sSub>
        <m:r>
          <m:rPr>
            <m:sty m:val="b"/>
          </m:rPr>
          <w:rPr>
            <w:rFonts w:ascii="Cambria Math" w:hAnsi="Cambria Math"/>
          </w:rPr>
          <m:t>=3</m:t>
        </m:r>
      </m:oMath>
      <w:r>
        <w:rPr>
          <w:rFonts w:eastAsia="Times New Roman" w:cs="Times New Roman"/>
          <w:b w:val="0"/>
        </w:rPr>
        <w:t xml:space="preserve"> microelectronvolt curve, and the envelope obtained after profiling the unresolved domain mixture for each M4 model. (c) Maximum predicted domain bandwidth versus M4–M3 critical-field shift for all 69 diffraction-compatible models. (d) The bandwidth rule c</w:t>
      </w:r>
      <w:r>
        <w:rPr>
          <w:rFonts w:eastAsia="Times New Roman" w:cs="Times New Roman"/>
          <w:b w:val="0"/>
        </w:rPr>
        <w:t>ontracts the sensitivity envelope to 30 models, whereas the direct linewidth nuisance audit leaves all 69 no worse than the source curve.</w:t>
      </w:r>
    </w:p>
    <w:p w14:paraId="2A0680BA" w14:textId="77777777" w:rsidR="00FE5CF5" w:rsidRDefault="00F3169B">
      <w:pPr>
        <w:pStyle w:val="21"/>
      </w:pPr>
      <w:r>
        <w:rPr>
          <w:rFonts w:ascii="Times New Roman" w:eastAsia="Times New Roman" w:hAnsi="Times New Roman" w:cs="Times New Roman"/>
        </w:rPr>
        <w:t>D. A preregistered N=18 model cover rejects universal N=12 transfer</w:t>
      </w:r>
    </w:p>
    <w:p w14:paraId="5685245B" w14:textId="4217CA1F" w:rsidR="00FE5CF5" w:rsidRDefault="00F3169B">
      <w:pPr>
        <w:jc w:val="both"/>
      </w:pPr>
      <w:r>
        <w:rPr>
          <w:rFonts w:eastAsia="Times New Roman" w:cs="Times New Roman"/>
        </w:rPr>
        <w:t>The direct N=12 calculation remains useful because</w:t>
      </w:r>
      <w:r>
        <w:rPr>
          <w:rFonts w:eastAsia="Times New Roman" w:cs="Times New Roman"/>
        </w:rPr>
        <w:t xml:space="preserve"> it rejects rigid critical-field transport. Across the 12-model coverage set at 90 mK, the M4–M3 optimum shift is 0–0.08 T and the peak-heat ratio is 0.916–1.013. Three common-random repeats of M4-01 give a 0.100 T shift, a mean peak-heat ratio of 0.919, a</w:t>
      </w:r>
      <w:r>
        <w:rPr>
          <w:rFonts w:eastAsia="Times New Roman" w:cs="Times New Roman"/>
        </w:rPr>
        <w:t xml:space="preserve">nd total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rPr>
        <w:t>-width ratios of 1.46–2.05. These results invalidate the earlier ±0.02 T residual-shift and ±20% width assumptions.</w:t>
      </w:r>
    </w:p>
    <w:p w14:paraId="4CD0958B" w14:textId="77777777" w:rsidR="00FE5CF5" w:rsidRDefault="00F3169B">
      <w:pPr>
        <w:jc w:val="both"/>
      </w:pPr>
      <w:r>
        <w:rPr>
          <w:rFonts w:eastAsia="Times New Roman" w:cs="Times New Roman"/>
        </w:rPr>
        <w:t>We test whether that conclusion is confined to one extreme Hamiltonian. Before inspecting the new N=18 results, we fixed four</w:t>
      </w:r>
      <w:r>
        <w:rPr>
          <w:rFonts w:eastAsia="Times New Roman" w:cs="Times New Roman"/>
        </w:rPr>
        <w:t xml:space="preserve"> M4 models: the minimum retained bulk-shift model M4-00, nominal M4-02, median-shift/distinct-coupling M4-03, and maximum-shift M4-01. The same M3 baseline and all four M4 models are calculated on the periodic </w:t>
      </w:r>
      <m:oMath>
        <m:r>
          <m:rPr>
            <m:sty m:val="p"/>
          </m:rPr>
          <w:rPr>
            <w:rFonts w:ascii="Cambria Math" w:hAnsi="Cambria Math"/>
          </w:rPr>
          <m:t>3 imes3 imes2</m:t>
        </m:r>
      </m:oMath>
      <w:r>
        <w:rPr>
          <w:rFonts w:eastAsia="Times New Roman" w:cs="Times New Roman"/>
        </w:rPr>
        <w:t xml:space="preserve">, </w:t>
      </w:r>
      <m:oMath>
        <m:r>
          <m:rPr>
            <m:sty m:val="p"/>
          </m:rPr>
          <w:rPr>
            <w:rFonts w:ascii="Cambria Math" w:hAnsi="Cambria Math"/>
          </w:rPr>
          <m:t>N=18</m:t>
        </m:r>
      </m:oMath>
      <w:r>
        <w:rPr>
          <w:rFonts w:eastAsia="Times New Roman" w:cs="Times New Roman"/>
        </w:rPr>
        <w:t xml:space="preserve"> cluster. Unlike the </w:t>
      </w:r>
      <m:oMath>
        <m:r>
          <m:rPr>
            <m:sty m:val="p"/>
          </m:rPr>
          <w:rPr>
            <w:rFonts w:ascii="Cambria Math" w:hAnsi="Cambria Math"/>
          </w:rPr>
          <m:t>3 imes</m:t>
        </m:r>
        <m:r>
          <m:rPr>
            <m:sty m:val="p"/>
          </m:rPr>
          <w:rPr>
            <w:rFonts w:ascii="Cambria Math" w:hAnsi="Cambria Math"/>
          </w:rPr>
          <m:t>2 imes2</m:t>
        </m:r>
      </m:oMath>
      <w:r>
        <w:rPr>
          <w:rFonts w:eastAsia="Times New Roman" w:cs="Times New Roman"/>
        </w:rPr>
        <w:t xml:space="preserve"> cluster, this geometry accommodates three-sublattice order in both planar directions.</w:t>
      </w:r>
    </w:p>
    <w:tbl>
      <w:tblPr>
        <w:tblW w:w="0" w:type="auto"/>
        <w:jc w:val="center"/>
        <w:tblLook w:val="04A0" w:firstRow="1" w:lastRow="0" w:firstColumn="1" w:lastColumn="0" w:noHBand="0" w:noVBand="1"/>
      </w:tblPr>
      <w:tblGrid>
        <w:gridCol w:w="1411"/>
        <w:gridCol w:w="1411"/>
        <w:gridCol w:w="1411"/>
        <w:gridCol w:w="1411"/>
        <w:gridCol w:w="1411"/>
        <w:gridCol w:w="1411"/>
        <w:gridCol w:w="1411"/>
      </w:tblGrid>
      <w:tr w:rsidR="00FE5CF5" w14:paraId="03846A8B" w14:textId="77777777">
        <w:trPr>
          <w:tblHeader/>
          <w:jc w:val="center"/>
        </w:trPr>
        <w:tc>
          <w:tcPr>
            <w:tcW w:w="1411"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905D135" w14:textId="77777777" w:rsidR="00FE5CF5" w:rsidRDefault="00F3169B">
            <w:pPr>
              <w:spacing w:after="0" w:line="240" w:lineRule="auto"/>
            </w:pPr>
            <w:r>
              <w:rPr>
                <w:rFonts w:eastAsia="Times New Roman" w:cs="Times New Roman"/>
                <w:b/>
                <w:color w:val="FFFFFF"/>
                <w:sz w:val="16"/>
              </w:rPr>
              <w:t>Model</w:t>
            </w:r>
          </w:p>
        </w:tc>
        <w:tc>
          <w:tcPr>
            <w:tcW w:w="1411"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6F37C4AE" w14:textId="77777777" w:rsidR="00FE5CF5" w:rsidRDefault="00F3169B">
            <w:pPr>
              <w:spacing w:after="0" w:line="240" w:lineRule="auto"/>
              <w:jc w:val="center"/>
            </w:pPr>
            <w:r>
              <w:rPr>
                <w:rFonts w:eastAsia="Times New Roman" w:cs="Times New Roman"/>
                <w:b/>
                <w:color w:val="FFFFFF"/>
                <w:sz w:val="16"/>
              </w:rPr>
              <w:t>Sample</w:t>
            </w:r>
          </w:p>
        </w:tc>
        <w:tc>
          <w:tcPr>
            <w:tcW w:w="1411"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9812CBD" w14:textId="77777777" w:rsidR="00FE5CF5" w:rsidRDefault="00F3169B">
            <w:pPr>
              <w:spacing w:after="0" w:line="240" w:lineRule="auto"/>
              <w:jc w:val="center"/>
            </w:pPr>
            <w:r>
              <w:rPr>
                <w:rFonts w:eastAsia="Times New Roman" w:cs="Times New Roman"/>
                <w:b/>
                <w:color w:val="FFFFFF"/>
                <w:sz w:val="16"/>
              </w:rPr>
              <w:t>N=12 shift (T)</w:t>
            </w:r>
          </w:p>
        </w:tc>
        <w:tc>
          <w:tcPr>
            <w:tcW w:w="1411"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B9E2D4B" w14:textId="77777777" w:rsidR="00FE5CF5" w:rsidRDefault="00F3169B">
            <w:pPr>
              <w:spacing w:after="0" w:line="240" w:lineRule="auto"/>
              <w:jc w:val="center"/>
            </w:pPr>
            <w:r>
              <w:rPr>
                <w:rFonts w:eastAsia="Times New Roman" w:cs="Times New Roman"/>
                <w:b/>
                <w:color w:val="FFFFFF"/>
                <w:sz w:val="16"/>
              </w:rPr>
              <w:t>N=18 shift (T)</w:t>
            </w:r>
          </w:p>
        </w:tc>
        <w:tc>
          <w:tcPr>
            <w:tcW w:w="1411"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E3C7FE4" w14:textId="77777777" w:rsidR="00FE5CF5" w:rsidRDefault="00F3169B">
            <w:pPr>
              <w:spacing w:after="0" w:line="240" w:lineRule="auto"/>
              <w:jc w:val="center"/>
            </w:pPr>
            <w:r>
              <w:rPr>
                <w:rFonts w:eastAsia="Times New Roman" w:cs="Times New Roman"/>
                <w:b/>
                <w:color w:val="FFFFFF"/>
                <w:sz w:val="16"/>
              </w:rPr>
              <w:t>N=12 heat ratio</w:t>
            </w:r>
          </w:p>
        </w:tc>
        <w:tc>
          <w:tcPr>
            <w:tcW w:w="1411"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2035286" w14:textId="77777777" w:rsidR="00FE5CF5" w:rsidRDefault="00F3169B">
            <w:pPr>
              <w:spacing w:after="0" w:line="240" w:lineRule="auto"/>
              <w:jc w:val="center"/>
            </w:pPr>
            <w:r>
              <w:rPr>
                <w:rFonts w:eastAsia="Times New Roman" w:cs="Times New Roman"/>
                <w:b/>
                <w:color w:val="FFFFFF"/>
                <w:sz w:val="16"/>
              </w:rPr>
              <w:t>N=18 heat ratio</w:t>
            </w:r>
          </w:p>
        </w:tc>
        <w:tc>
          <w:tcPr>
            <w:tcW w:w="1411"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0481D2E6" w14:textId="26841497" w:rsidR="00FE5CF5" w:rsidRDefault="00F3169B">
            <w:pPr>
              <w:spacing w:after="0" w:line="240" w:lineRule="auto"/>
              <w:jc w:val="center"/>
            </w:pPr>
            <w:r>
              <w:rPr>
                <w:rFonts w:eastAsia="Times New Roman" w:cs="Times New Roman"/>
                <w:b/>
                <w:color w:val="FFFFFF"/>
                <w:sz w:val="16"/>
              </w:rPr>
              <w:t>N=18 total-</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b/>
                <w:color w:val="FFFFFF"/>
                <w:sz w:val="16"/>
              </w:rPr>
              <w:t xml:space="preserve"> ratio</w:t>
            </w:r>
          </w:p>
        </w:tc>
      </w:tr>
      <w:tr w:rsidR="00FE5CF5" w14:paraId="3F5DC2F7" w14:textId="77777777">
        <w:trPr>
          <w:jc w:val="center"/>
        </w:trPr>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9F817B0" w14:textId="77777777" w:rsidR="00FE5CF5" w:rsidRDefault="00F3169B">
            <w:pPr>
              <w:spacing w:after="0" w:line="240" w:lineRule="auto"/>
            </w:pPr>
            <w:r>
              <w:rPr>
                <w:rFonts w:eastAsia="Times New Roman" w:cs="Times New Roman"/>
                <w:sz w:val="16"/>
              </w:rPr>
              <w:t>M4-00</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DB16F77" w14:textId="77777777" w:rsidR="00FE5CF5" w:rsidRDefault="00F3169B">
            <w:pPr>
              <w:spacing w:after="0" w:line="240" w:lineRule="auto"/>
              <w:jc w:val="center"/>
            </w:pPr>
            <w:r>
              <w:rPr>
                <w:rFonts w:eastAsia="Times New Roman" w:cs="Times New Roman"/>
                <w:sz w:val="16"/>
              </w:rPr>
              <w:t>761</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B0DE85E" w14:textId="77777777" w:rsidR="00FE5CF5" w:rsidRDefault="00F3169B">
            <w:pPr>
              <w:spacing w:after="0" w:line="240" w:lineRule="auto"/>
              <w:jc w:val="center"/>
            </w:pPr>
            <w:r>
              <w:rPr>
                <w:rFonts w:eastAsia="Times New Roman" w:cs="Times New Roman"/>
                <w:sz w:val="16"/>
              </w:rPr>
              <w:t>0.000</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F984A93" w14:textId="77777777" w:rsidR="00FE5CF5" w:rsidRDefault="00F3169B">
            <w:pPr>
              <w:spacing w:after="0" w:line="240" w:lineRule="auto"/>
              <w:jc w:val="center"/>
            </w:pPr>
            <w:r>
              <w:rPr>
                <w:rFonts w:eastAsia="Times New Roman" w:cs="Times New Roman"/>
                <w:sz w:val="16"/>
              </w:rPr>
              <w:t>0.293</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0719695" w14:textId="77777777" w:rsidR="00FE5CF5" w:rsidRDefault="00F3169B">
            <w:pPr>
              <w:spacing w:after="0" w:line="240" w:lineRule="auto"/>
              <w:jc w:val="center"/>
            </w:pPr>
            <w:r>
              <w:rPr>
                <w:rFonts w:eastAsia="Times New Roman" w:cs="Times New Roman"/>
                <w:sz w:val="16"/>
              </w:rPr>
              <w:t>1.013</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0AAC047" w14:textId="77777777" w:rsidR="00FE5CF5" w:rsidRDefault="00F3169B">
            <w:pPr>
              <w:spacing w:after="0" w:line="240" w:lineRule="auto"/>
              <w:jc w:val="center"/>
            </w:pPr>
            <w:r>
              <w:rPr>
                <w:rFonts w:eastAsia="Times New Roman" w:cs="Times New Roman"/>
                <w:sz w:val="16"/>
              </w:rPr>
              <w:t>0.852</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19F17B8" w14:textId="77777777" w:rsidR="00FE5CF5" w:rsidRDefault="00F3169B">
            <w:pPr>
              <w:spacing w:after="0" w:line="240" w:lineRule="auto"/>
              <w:jc w:val="center"/>
            </w:pPr>
            <w:r>
              <w:rPr>
                <w:rFonts w:eastAsia="Times New Roman" w:cs="Times New Roman"/>
                <w:sz w:val="16"/>
              </w:rPr>
              <w:t>1.054</w:t>
            </w:r>
          </w:p>
        </w:tc>
      </w:tr>
      <w:tr w:rsidR="00FE5CF5" w14:paraId="05F1C3BD" w14:textId="77777777">
        <w:trPr>
          <w:jc w:val="center"/>
        </w:trPr>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B0D49E6" w14:textId="77777777" w:rsidR="00FE5CF5" w:rsidRDefault="00F3169B">
            <w:pPr>
              <w:spacing w:after="0" w:line="240" w:lineRule="auto"/>
            </w:pPr>
            <w:r>
              <w:rPr>
                <w:rFonts w:eastAsia="Times New Roman" w:cs="Times New Roman"/>
                <w:sz w:val="16"/>
              </w:rPr>
              <w:t>M4-02</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7D8B55A" w14:textId="77777777" w:rsidR="00FE5CF5" w:rsidRDefault="00F3169B">
            <w:pPr>
              <w:spacing w:after="0" w:line="240" w:lineRule="auto"/>
              <w:jc w:val="center"/>
            </w:pPr>
            <w:r>
              <w:rPr>
                <w:rFonts w:eastAsia="Times New Roman" w:cs="Times New Roman"/>
                <w:sz w:val="16"/>
              </w:rPr>
              <w:t>188</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FB20B65" w14:textId="77777777" w:rsidR="00FE5CF5" w:rsidRDefault="00F3169B">
            <w:pPr>
              <w:spacing w:after="0" w:line="240" w:lineRule="auto"/>
              <w:jc w:val="center"/>
            </w:pPr>
            <w:r>
              <w:rPr>
                <w:rFonts w:eastAsia="Times New Roman" w:cs="Times New Roman"/>
                <w:sz w:val="16"/>
              </w:rPr>
              <w:t>0.040</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C6C0965" w14:textId="77777777" w:rsidR="00FE5CF5" w:rsidRDefault="00F3169B">
            <w:pPr>
              <w:spacing w:after="0" w:line="240" w:lineRule="auto"/>
              <w:jc w:val="center"/>
            </w:pPr>
            <w:r>
              <w:rPr>
                <w:rFonts w:eastAsia="Times New Roman" w:cs="Times New Roman"/>
                <w:sz w:val="16"/>
              </w:rPr>
              <w:t>0.339</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7B12A26" w14:textId="77777777" w:rsidR="00FE5CF5" w:rsidRDefault="00F3169B">
            <w:pPr>
              <w:spacing w:after="0" w:line="240" w:lineRule="auto"/>
              <w:jc w:val="center"/>
            </w:pPr>
            <w:r>
              <w:rPr>
                <w:rFonts w:eastAsia="Times New Roman" w:cs="Times New Roman"/>
                <w:sz w:val="16"/>
              </w:rPr>
              <w:t>0.994</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2AAF86D" w14:textId="77777777" w:rsidR="00FE5CF5" w:rsidRDefault="00F3169B">
            <w:pPr>
              <w:spacing w:after="0" w:line="240" w:lineRule="auto"/>
              <w:jc w:val="center"/>
            </w:pPr>
            <w:r>
              <w:rPr>
                <w:rFonts w:eastAsia="Times New Roman" w:cs="Times New Roman"/>
                <w:sz w:val="16"/>
              </w:rPr>
              <w:t>0.749</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4095AEB" w14:textId="77777777" w:rsidR="00FE5CF5" w:rsidRDefault="00F3169B">
            <w:pPr>
              <w:spacing w:after="0" w:line="240" w:lineRule="auto"/>
              <w:jc w:val="center"/>
            </w:pPr>
            <w:r>
              <w:rPr>
                <w:rFonts w:eastAsia="Times New Roman" w:cs="Times New Roman"/>
                <w:sz w:val="16"/>
              </w:rPr>
              <w:t>0.993</w:t>
            </w:r>
          </w:p>
        </w:tc>
      </w:tr>
      <w:tr w:rsidR="00FE5CF5" w14:paraId="3C444937" w14:textId="77777777">
        <w:trPr>
          <w:jc w:val="center"/>
        </w:trPr>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6EEDF63" w14:textId="77777777" w:rsidR="00FE5CF5" w:rsidRDefault="00F3169B">
            <w:pPr>
              <w:spacing w:after="0" w:line="240" w:lineRule="auto"/>
            </w:pPr>
            <w:r>
              <w:rPr>
                <w:rFonts w:eastAsia="Times New Roman" w:cs="Times New Roman"/>
                <w:sz w:val="16"/>
              </w:rPr>
              <w:t>M4-03</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4FC9582" w14:textId="77777777" w:rsidR="00FE5CF5" w:rsidRDefault="00F3169B">
            <w:pPr>
              <w:spacing w:after="0" w:line="240" w:lineRule="auto"/>
              <w:jc w:val="center"/>
            </w:pPr>
            <w:r>
              <w:rPr>
                <w:rFonts w:eastAsia="Times New Roman" w:cs="Times New Roman"/>
                <w:sz w:val="16"/>
              </w:rPr>
              <w:t>738</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9006D13" w14:textId="77777777" w:rsidR="00FE5CF5" w:rsidRDefault="00F3169B">
            <w:pPr>
              <w:spacing w:after="0" w:line="240" w:lineRule="auto"/>
              <w:jc w:val="center"/>
            </w:pPr>
            <w:r>
              <w:rPr>
                <w:rFonts w:eastAsia="Times New Roman" w:cs="Times New Roman"/>
                <w:sz w:val="16"/>
              </w:rPr>
              <w:t>0.050</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0654B5F" w14:textId="77777777" w:rsidR="00FE5CF5" w:rsidRDefault="00F3169B">
            <w:pPr>
              <w:spacing w:after="0" w:line="240" w:lineRule="auto"/>
              <w:jc w:val="center"/>
            </w:pPr>
            <w:r>
              <w:rPr>
                <w:rFonts w:eastAsia="Times New Roman" w:cs="Times New Roman"/>
                <w:sz w:val="16"/>
              </w:rPr>
              <w:t>0.360</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9092A57" w14:textId="77777777" w:rsidR="00FE5CF5" w:rsidRDefault="00F3169B">
            <w:pPr>
              <w:spacing w:after="0" w:line="240" w:lineRule="auto"/>
              <w:jc w:val="center"/>
            </w:pPr>
            <w:r>
              <w:rPr>
                <w:rFonts w:eastAsia="Times New Roman" w:cs="Times New Roman"/>
                <w:sz w:val="16"/>
              </w:rPr>
              <w:t>0.961</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FAA3999" w14:textId="77777777" w:rsidR="00FE5CF5" w:rsidRDefault="00F3169B">
            <w:pPr>
              <w:spacing w:after="0" w:line="240" w:lineRule="auto"/>
              <w:jc w:val="center"/>
            </w:pPr>
            <w:r>
              <w:rPr>
                <w:rFonts w:eastAsia="Times New Roman" w:cs="Times New Roman"/>
                <w:sz w:val="16"/>
              </w:rPr>
              <w:t>0.663</w:t>
            </w:r>
          </w:p>
        </w:tc>
        <w:tc>
          <w:tcPr>
            <w:tcW w:w="1411"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070A3AF" w14:textId="77777777" w:rsidR="00FE5CF5" w:rsidRDefault="00F3169B">
            <w:pPr>
              <w:spacing w:after="0" w:line="240" w:lineRule="auto"/>
              <w:jc w:val="center"/>
            </w:pPr>
            <w:r>
              <w:rPr>
                <w:rFonts w:eastAsia="Times New Roman" w:cs="Times New Roman"/>
                <w:sz w:val="16"/>
              </w:rPr>
              <w:t>0.917</w:t>
            </w:r>
          </w:p>
        </w:tc>
      </w:tr>
      <w:tr w:rsidR="00FE5CF5" w14:paraId="261EF49A" w14:textId="77777777">
        <w:trPr>
          <w:jc w:val="center"/>
        </w:trPr>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2B99840" w14:textId="77777777" w:rsidR="00FE5CF5" w:rsidRDefault="00F3169B">
            <w:pPr>
              <w:spacing w:after="0" w:line="240" w:lineRule="auto"/>
            </w:pPr>
            <w:r>
              <w:rPr>
                <w:rFonts w:eastAsia="Times New Roman" w:cs="Times New Roman"/>
                <w:sz w:val="16"/>
              </w:rPr>
              <w:t>M4-01</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5129DDA" w14:textId="77777777" w:rsidR="00FE5CF5" w:rsidRDefault="00F3169B">
            <w:pPr>
              <w:spacing w:after="0" w:line="240" w:lineRule="auto"/>
              <w:jc w:val="center"/>
            </w:pPr>
            <w:r>
              <w:rPr>
                <w:rFonts w:eastAsia="Times New Roman" w:cs="Times New Roman"/>
                <w:sz w:val="16"/>
              </w:rPr>
              <w:t>773</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63E7C6C" w14:textId="77777777" w:rsidR="00FE5CF5" w:rsidRDefault="00F3169B">
            <w:pPr>
              <w:spacing w:after="0" w:line="240" w:lineRule="auto"/>
              <w:jc w:val="center"/>
            </w:pPr>
            <w:r>
              <w:rPr>
                <w:rFonts w:eastAsia="Times New Roman" w:cs="Times New Roman"/>
                <w:sz w:val="16"/>
              </w:rPr>
              <w:t>0.100</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6383F55" w14:textId="77777777" w:rsidR="00FE5CF5" w:rsidRDefault="00F3169B">
            <w:pPr>
              <w:spacing w:after="0" w:line="240" w:lineRule="auto"/>
              <w:jc w:val="center"/>
            </w:pPr>
            <w:r>
              <w:rPr>
                <w:rFonts w:eastAsia="Times New Roman" w:cs="Times New Roman"/>
                <w:sz w:val="16"/>
              </w:rPr>
              <w:t>0.425</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6E282B6" w14:textId="77777777" w:rsidR="00FE5CF5" w:rsidRDefault="00F3169B">
            <w:pPr>
              <w:spacing w:after="0" w:line="240" w:lineRule="auto"/>
              <w:jc w:val="center"/>
            </w:pPr>
            <w:r>
              <w:rPr>
                <w:rFonts w:eastAsia="Times New Roman" w:cs="Times New Roman"/>
                <w:sz w:val="16"/>
              </w:rPr>
              <w:t>0.919</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ABD49FE" w14:textId="77777777" w:rsidR="00FE5CF5" w:rsidRDefault="00F3169B">
            <w:pPr>
              <w:spacing w:after="0" w:line="240" w:lineRule="auto"/>
              <w:jc w:val="center"/>
            </w:pPr>
            <w:r>
              <w:rPr>
                <w:rFonts w:eastAsia="Times New Roman" w:cs="Times New Roman"/>
                <w:sz w:val="16"/>
              </w:rPr>
              <w:t>0.537</w:t>
            </w:r>
          </w:p>
        </w:tc>
        <w:tc>
          <w:tcPr>
            <w:tcW w:w="1411"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ACC9939" w14:textId="77777777" w:rsidR="00FE5CF5" w:rsidRDefault="00F3169B">
            <w:pPr>
              <w:spacing w:after="0" w:line="240" w:lineRule="auto"/>
              <w:jc w:val="center"/>
            </w:pPr>
            <w:r>
              <w:rPr>
                <w:rFonts w:eastAsia="Times New Roman" w:cs="Times New Roman"/>
                <w:sz w:val="16"/>
              </w:rPr>
              <w:t>0.909</w:t>
            </w:r>
          </w:p>
        </w:tc>
      </w:tr>
    </w:tbl>
    <w:p w14:paraId="0C9A8A12" w14:textId="77777777" w:rsidR="00FE5CF5" w:rsidRDefault="00FE5CF5">
      <w:pPr>
        <w:spacing w:after="40"/>
      </w:pPr>
    </w:p>
    <w:p w14:paraId="1FAF8B04" w14:textId="1663683D" w:rsidR="00FE5CF5" w:rsidRDefault="00F3169B">
      <w:pPr>
        <w:jc w:val="both"/>
      </w:pPr>
      <w:r>
        <w:rPr>
          <w:rFonts w:eastAsia="Times New Roman" w:cs="Times New Roman"/>
        </w:rPr>
        <w:t xml:space="preserve">The M3 N=18 peak is 1.17673 T. Across the preregistered M4 cover, the N=18 optimum shift spans 0.293–0.425 T, the peak-heat ratio spans </w:t>
      </w:r>
      <w:r>
        <w:rPr>
          <w:rFonts w:eastAsia="Times New Roman" w:cs="Times New Roman"/>
        </w:rPr>
        <w:t>0.537–0.852, and the local total-</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rPr>
        <w:t xml:space="preserve"> ratio spans 0.909–1.054. A major transfer change is defined as an absolute N=18-minus-N=12 optimum-shift change of at least 0.05 T or an absolute peak-heat-ratio change of at least 0.10. 4 of the four M4 models (M4-0</w:t>
      </w:r>
      <w:r>
        <w:rPr>
          <w:rFonts w:eastAsia="Times New Roman" w:cs="Times New Roman"/>
        </w:rPr>
        <w:t>0, M4-02, M4-03, M4-01) cross the declared major-transfer threshold. The N=18 shift is monotone in the preregistered bulk-shift order (Spearman rho=1.000). This model-family result is stronger than the previous M4-01-only comparison because selection was f</w:t>
      </w:r>
      <w:r>
        <w:rPr>
          <w:rFonts w:eastAsia="Times New Roman" w:cs="Times New Roman"/>
        </w:rPr>
        <w:t>ixed from retained bulk and N=12 evidence before the new N=18 values were known.</w:t>
      </w:r>
    </w:p>
    <w:p w14:paraId="2C74CDF4" w14:textId="450FA85C" w:rsidR="00FE5CF5" w:rsidRDefault="00F3169B">
      <w:pPr>
        <w:jc w:val="both"/>
      </w:pPr>
      <w:r>
        <w:rPr>
          <w:rFonts w:eastAsia="Times New Roman" w:cs="Times New Roman"/>
        </w:rPr>
        <w:t>Every Hamiltonian uses the same 1.10–2.10 T grid at 0.02 T spacing. Every close dense-grid local maximum is recalculated with 32 states per parity before peak selection. Multi</w:t>
      </w:r>
      <w:r>
        <w:rPr>
          <w:rFonts w:eastAsia="Times New Roman" w:cs="Times New Roman"/>
        </w:rPr>
        <w:t xml:space="preserve">ple close candidates occur for M3 (2), M4-00 (2), M4-02 (2), M4-03 (2), M4-01 (2); increasing the state count changes the selected branch for none. The maximum K6/K7-to-K8/K9 cold-entropy change at the selected centers is 7.24e-05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the large</w:t>
      </w:r>
      <w:r>
        <w:rPr>
          <w:rFonts w:eastAsia="Times New Roman" w:cs="Times New Roman"/>
        </w:rPr>
        <w:t xml:space="preserve">st final K8/K9-to-K10/K11 hot-reference change is 4.37e-03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These checks meet the declared local numerical tolerances inside the projected N=18 calculation. They do not establish the thermodynamic limit.</w:t>
      </w:r>
    </w:p>
    <w:p w14:paraId="180DD7A5" w14:textId="77777777" w:rsidR="00FE5CF5" w:rsidRDefault="00F3169B">
      <w:pPr>
        <w:keepNext/>
        <w:spacing w:before="80" w:after="40"/>
        <w:jc w:val="center"/>
      </w:pPr>
      <w:r>
        <w:rPr>
          <w:noProof/>
        </w:rPr>
        <w:drawing>
          <wp:inline distT="0" distB="0" distL="0" distR="0" wp14:anchorId="23C1CF66" wp14:editId="5D3E3214">
            <wp:extent cx="6172200" cy="4518932"/>
            <wp:effectExtent l="0" t="0" r="0" b="0"/>
            <wp:docPr id="6" name="Picture 6" descr="Preregistered N=18 interlayer-model cover and 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8_multimodel_cover.png"/>
                    <pic:cNvPicPr/>
                  </pic:nvPicPr>
                  <pic:blipFill>
                    <a:blip r:embed="rId13"/>
                    <a:stretch>
                      <a:fillRect/>
                    </a:stretch>
                  </pic:blipFill>
                  <pic:spPr>
                    <a:xfrm>
                      <a:off x="0" y="0"/>
                      <a:ext cx="6172200" cy="4518932"/>
                    </a:xfrm>
                    <a:prstGeom prst="rect">
                      <a:avLst/>
                    </a:prstGeom>
                  </pic:spPr>
                </pic:pic>
              </a:graphicData>
            </a:graphic>
          </wp:inline>
        </w:drawing>
      </w:r>
    </w:p>
    <w:p w14:paraId="66168BC9" w14:textId="77777777" w:rsidR="00FE5CF5" w:rsidRDefault="00F3169B">
      <w:pPr>
        <w:pStyle w:val="af0"/>
      </w:pPr>
      <w:r>
        <w:rPr>
          <w:rFonts w:eastAsia="Times New Roman" w:cs="Times New Roman"/>
        </w:rPr>
        <w:t>Figure 6.</w:t>
      </w:r>
      <w:r>
        <w:rPr>
          <w:rFonts w:eastAsia="Times New Roman" w:cs="Times New Roman"/>
          <w:b w:val="0"/>
        </w:rPr>
        <w:t xml:space="preserve"> (a) Common-grid N=18 cold</w:t>
      </w:r>
      <w:r>
        <w:rPr>
          <w:rFonts w:eastAsia="Times New Roman" w:cs="Times New Roman"/>
          <w:b w:val="0"/>
        </w:rPr>
        <w:t>-entropy scans for M3 and four preregistered M4 models. (b) N=12 and N=18 optimum shifts. (c) N=12 and N=18 peak-heat ratios. (d) Low-state and projected-magnon-cutoff checks at the selected peaks. N=18 convergence is numerical convergence within one proje</w:t>
      </w:r>
      <w:r>
        <w:rPr>
          <w:rFonts w:eastAsia="Times New Roman" w:cs="Times New Roman"/>
          <w:b w:val="0"/>
        </w:rPr>
        <w:t>cted cluster, not bulk convergence.</w:t>
      </w:r>
    </w:p>
    <w:p w14:paraId="09FD9CBA" w14:textId="77777777" w:rsidR="00FE5CF5" w:rsidRDefault="00F3169B">
      <w:pPr>
        <w:jc w:val="both"/>
      </w:pPr>
      <w:r>
        <w:rPr>
          <w:rFonts w:eastAsia="Times New Roman" w:cs="Times New Roman"/>
        </w:rPr>
        <w:t>Propagating all four correlated N=18 deformations, rather than only M4-01, expands the engineering stress from 52 to 68 scenarios. Peak support becomes 1.2943–1.7136 T. The unmeasured minimax field moves from 1.3660 to 1</w:t>
      </w:r>
      <w:r>
        <w:rPr>
          <w:rFonts w:eastAsia="Times New Roman" w:cs="Times New Roman"/>
        </w:rPr>
        <w:t>.4890 T and worst regret rises from 9.42% to 34.55%. The former N=12 field and inventory values remain transparent pre-convergence examples, not package acceptance values.</w:t>
      </w:r>
    </w:p>
    <w:p w14:paraId="617244F7" w14:textId="77777777" w:rsidR="00FE5CF5" w:rsidRDefault="00F3169B">
      <w:pPr>
        <w:jc w:val="both"/>
      </w:pPr>
      <w:r>
        <w:rPr>
          <w:rFonts w:eastAsia="Times New Roman" w:cs="Times New Roman"/>
        </w:rPr>
        <w:t>For provenance, the former N=12-only decisions are listed in Table II. They quantify</w:t>
      </w:r>
      <w:r>
        <w:rPr>
          <w:rFonts w:eastAsia="Times New Roman" w:cs="Times New Roman"/>
        </w:rPr>
        <w:t xml:space="preserve"> what the smaller scenario set implied before the size test and must not be used as package acceptance values.</w:t>
      </w:r>
    </w:p>
    <w:p w14:paraId="77CC96D0" w14:textId="77777777" w:rsidR="00FE5CF5" w:rsidRDefault="00F3169B">
      <w:pPr>
        <w:pStyle w:val="af0"/>
      </w:pPr>
      <w:r>
        <w:rPr>
          <w:rFonts w:eastAsia="Times New Roman" w:cs="Times New Roman"/>
        </w:rPr>
        <w:t>Table II. N=12-conditional pre-convergence decisions.</w:t>
      </w:r>
      <w:r>
        <w:rPr>
          <w:rFonts w:eastAsia="Times New Roman" w:cs="Times New Roman"/>
          <w:b w:val="0"/>
        </w:rPr>
        <w:t xml:space="preserve"> Heat and volume are magnetic-only values within the former 52-scenario set.</w:t>
      </w:r>
    </w:p>
    <w:tbl>
      <w:tblPr>
        <w:tblW w:w="0" w:type="auto"/>
        <w:jc w:val="center"/>
        <w:tblLook w:val="04A0" w:firstRow="1" w:lastRow="0" w:firstColumn="1" w:lastColumn="0" w:noHBand="0" w:noVBand="1"/>
      </w:tblPr>
      <w:tblGrid>
        <w:gridCol w:w="1646"/>
        <w:gridCol w:w="1646"/>
        <w:gridCol w:w="1646"/>
        <w:gridCol w:w="1646"/>
        <w:gridCol w:w="1646"/>
        <w:gridCol w:w="1646"/>
      </w:tblGrid>
      <w:tr w:rsidR="00FE5CF5" w14:paraId="068E4C5F" w14:textId="77777777">
        <w:trPr>
          <w:tblHeade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EC296A8" w14:textId="77777777" w:rsidR="00FE5CF5" w:rsidRDefault="00F3169B">
            <w:pPr>
              <w:spacing w:after="0" w:line="240" w:lineRule="auto"/>
            </w:pPr>
            <w:r>
              <w:rPr>
                <w:rFonts w:eastAsia="Times New Roman" w:cs="Times New Roman"/>
                <w:b/>
                <w:color w:val="FFFFFF"/>
                <w:sz w:val="16"/>
              </w:rPr>
              <w:t>Temperature (mK</w:t>
            </w:r>
            <w:r>
              <w:rPr>
                <w:rFonts w:eastAsia="Times New Roman" w:cs="Times New Roman"/>
                <w:b/>
                <w:color w:val="FFFFFF"/>
                <w:sz w:val="16"/>
              </w:rPr>
              <w:t>)</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0A1A96DB" w14:textId="77777777" w:rsidR="00FE5CF5" w:rsidRDefault="00F3169B">
            <w:pPr>
              <w:spacing w:after="0" w:line="240" w:lineRule="auto"/>
              <w:jc w:val="center"/>
            </w:pPr>
            <w:r>
              <w:rPr>
                <w:rFonts w:eastAsia="Times New Roman" w:cs="Times New Roman"/>
                <w:b/>
                <w:color w:val="FFFFFF"/>
                <w:sz w:val="16"/>
              </w:rPr>
              <w:t>Conditional field (T)</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391A11B9" w14:textId="77777777" w:rsidR="00FE5CF5" w:rsidRDefault="00F3169B">
            <w:pPr>
              <w:spacing w:after="0" w:line="240" w:lineRule="auto"/>
              <w:jc w:val="center"/>
            </w:pPr>
            <w:r>
              <w:rPr>
                <w:rFonts w:eastAsia="Times New Roman" w:cs="Times New Roman"/>
                <w:b/>
                <w:color w:val="FFFFFF"/>
                <w:sz w:val="16"/>
              </w:rPr>
              <w:t>Worst regret (%)</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3826A898" w14:textId="065B185E" w:rsidR="00FE5CF5" w:rsidRDefault="00F3169B">
            <w:pPr>
              <w:spacing w:after="0" w:line="240" w:lineRule="auto"/>
              <w:jc w:val="center"/>
            </w:pPr>
            <w:r>
              <w:rPr>
                <w:rFonts w:eastAsia="Times New Roman" w:cs="Times New Roman"/>
                <w:b/>
                <w:color w:val="FFFFFF"/>
                <w:sz w:val="16"/>
              </w:rPr>
              <w:t xml:space="preserve">Guaranteed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b/>
                <w:color w:val="FFFFFF"/>
                <w:sz w:val="16"/>
              </w:rPr>
              <w:t xml:space="preserve"> (T)</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3E1EA683" w14:textId="660E4081" w:rsidR="00FE5CF5" w:rsidRDefault="00F3169B">
            <w:pPr>
              <w:spacing w:after="0" w:line="240" w:lineRule="auto"/>
              <w:jc w:val="center"/>
            </w:pPr>
            <w:r>
              <w:rPr>
                <w:rFonts w:eastAsia="Times New Roman" w:cs="Times New Roman"/>
                <w:b/>
                <w:color w:val="FFFFFF"/>
                <w:sz w:val="16"/>
              </w:rPr>
              <w:t xml:space="preserve">Worst </w:t>
            </w:r>
            <m:oMath>
              <m:r>
                <m:rPr>
                  <m:sty m:val="p"/>
                </m:rPr>
                <w:rPr>
                  <w:rFonts w:ascii="Cambria Math" w:hAnsi="Cambria Math"/>
                </w:rPr>
                <m:t>Q</m:t>
              </m:r>
            </m:oMath>
            <w:r>
              <w:rPr>
                <w:rFonts w:eastAsia="Times New Roman" w:cs="Times New Roman"/>
                <w:b/>
                <w:color w:val="FFFFFF"/>
                <w:sz w:val="16"/>
              </w:rPr>
              <w:t xml:space="preserve"> (mJ cm</w:t>
            </w:r>
            <m:oMath>
              <m:sSup>
                <m:sSupPr>
                  <m:ctrlPr>
                    <w:rPr>
                      <w:rFonts w:ascii="Cambria Math" w:hAnsi="Cambria Math"/>
                    </w:rPr>
                  </m:ctrlPr>
                </m:sSupPr>
                <m:e/>
                <m:sup>
                  <m:r>
                    <m:rPr>
                      <m:sty m:val="p"/>
                    </m:rPr>
                    <w:rPr>
                      <w:rFonts w:ascii="Cambria Math" w:hAnsi="Cambria Math"/>
                    </w:rPr>
                    <m:t>-3</m:t>
                  </m:r>
                </m:sup>
              </m:sSup>
            </m:oMath>
            <w:r>
              <w:rPr>
                <w:rFonts w:eastAsia="Times New Roman" w:cs="Times New Roman"/>
                <w:b/>
                <w:color w:val="FFFFFF"/>
                <w:sz w:val="16"/>
              </w:rPr>
              <w:t>)</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38E6BA85" w14:textId="666F3BE0" w:rsidR="00FE5CF5" w:rsidRDefault="00F3169B">
            <w:pPr>
              <w:spacing w:after="0" w:line="240" w:lineRule="auto"/>
              <w:jc w:val="center"/>
            </w:pPr>
            <w:r>
              <w:rPr>
                <w:rFonts w:eastAsia="Times New Roman" w:cs="Times New Roman"/>
                <w:b/>
                <w:color w:val="FFFFFF"/>
                <w:sz w:val="16"/>
              </w:rPr>
              <w:t>Volume for 0.10 microWatt, 60 min (cm</w:t>
            </w:r>
            <m:oMath>
              <m:sSup>
                <m:sSupPr>
                  <m:ctrlPr>
                    <w:rPr>
                      <w:rFonts w:ascii="Cambria Math" w:hAnsi="Cambria Math"/>
                    </w:rPr>
                  </m:ctrlPr>
                </m:sSupPr>
                <m:e/>
                <m:sup>
                  <m:r>
                    <m:rPr>
                      <m:sty m:val="p"/>
                    </m:rPr>
                    <w:rPr>
                      <w:rFonts w:ascii="Cambria Math" w:hAnsi="Cambria Math"/>
                    </w:rPr>
                    <m:t>3</m:t>
                  </m:r>
                </m:sup>
              </m:sSup>
            </m:oMath>
            <w:r>
              <w:rPr>
                <w:rFonts w:eastAsia="Times New Roman" w:cs="Times New Roman"/>
                <w:b/>
                <w:color w:val="FFFFFF"/>
                <w:sz w:val="16"/>
              </w:rPr>
              <w:t>)</w:t>
            </w:r>
          </w:p>
        </w:tc>
      </w:tr>
      <w:tr w:rsidR="00FE5CF5" w14:paraId="48720ABA" w14:textId="77777777">
        <w:trPr>
          <w:jc w:val="center"/>
        </w:trPr>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C149A00" w14:textId="77777777" w:rsidR="00FE5CF5" w:rsidRDefault="00F3169B">
            <w:pPr>
              <w:spacing w:after="0" w:line="240" w:lineRule="auto"/>
            </w:pPr>
            <w:r>
              <w:rPr>
                <w:rFonts w:eastAsia="Times New Roman" w:cs="Times New Roman"/>
                <w:sz w:val="16"/>
              </w:rPr>
              <w:t>90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D64C266" w14:textId="77777777" w:rsidR="00FE5CF5" w:rsidRDefault="00F3169B">
            <w:pPr>
              <w:spacing w:after="0" w:line="240" w:lineRule="auto"/>
              <w:jc w:val="center"/>
            </w:pPr>
            <w:r>
              <w:rPr>
                <w:rFonts w:eastAsia="Times New Roman" w:cs="Times New Roman"/>
                <w:sz w:val="16"/>
              </w:rPr>
              <w:t>1.3660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D829912" w14:textId="77777777" w:rsidR="00FE5CF5" w:rsidRDefault="00F3169B">
            <w:pPr>
              <w:spacing w:after="0" w:line="240" w:lineRule="auto"/>
              <w:jc w:val="center"/>
            </w:pPr>
            <w:r>
              <w:rPr>
                <w:rFonts w:eastAsia="Times New Roman" w:cs="Times New Roman"/>
                <w:sz w:val="16"/>
              </w:rPr>
              <w:t>9.42</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6373576" w14:textId="77777777" w:rsidR="00FE5CF5" w:rsidRDefault="00F3169B">
            <w:pPr>
              <w:spacing w:after="0" w:line="240" w:lineRule="auto"/>
              <w:jc w:val="center"/>
            </w:pPr>
            <w:r>
              <w:rPr>
                <w:rFonts w:eastAsia="Times New Roman" w:cs="Times New Roman"/>
                <w:sz w:val="16"/>
              </w:rPr>
              <w:t>none</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F0AB553" w14:textId="77777777" w:rsidR="00FE5CF5" w:rsidRDefault="00F3169B">
            <w:pPr>
              <w:spacing w:after="0" w:line="240" w:lineRule="auto"/>
              <w:jc w:val="center"/>
            </w:pPr>
            <w:r>
              <w:rPr>
                <w:rFonts w:eastAsia="Times New Roman" w:cs="Times New Roman"/>
                <w:sz w:val="16"/>
              </w:rPr>
              <w:t>0.3825</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8DB199A" w14:textId="77777777" w:rsidR="00FE5CF5" w:rsidRDefault="00F3169B">
            <w:pPr>
              <w:spacing w:after="0" w:line="240" w:lineRule="auto"/>
              <w:jc w:val="center"/>
            </w:pPr>
            <w:r>
              <w:rPr>
                <w:rFonts w:eastAsia="Times New Roman" w:cs="Times New Roman"/>
                <w:sz w:val="16"/>
              </w:rPr>
              <w:t>0.941</w:t>
            </w:r>
          </w:p>
        </w:tc>
      </w:tr>
      <w:tr w:rsidR="00FE5CF5" w14:paraId="242408BF" w14:textId="77777777">
        <w:trP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A125CFB" w14:textId="77777777" w:rsidR="00FE5CF5" w:rsidRDefault="00F3169B">
            <w:pPr>
              <w:spacing w:after="0" w:line="240" w:lineRule="auto"/>
            </w:pPr>
            <w:r>
              <w:rPr>
                <w:rFonts w:eastAsia="Times New Roman" w:cs="Times New Roman"/>
                <w:sz w:val="16"/>
              </w:rPr>
              <w:t>100</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D85FA1B" w14:textId="77777777" w:rsidR="00FE5CF5" w:rsidRDefault="00F3169B">
            <w:pPr>
              <w:spacing w:after="0" w:line="240" w:lineRule="auto"/>
              <w:jc w:val="center"/>
            </w:pPr>
            <w:r>
              <w:rPr>
                <w:rFonts w:eastAsia="Times New Roman" w:cs="Times New Roman"/>
                <w:sz w:val="16"/>
              </w:rPr>
              <w:t>1.3608</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7D88704" w14:textId="77777777" w:rsidR="00FE5CF5" w:rsidRDefault="00F3169B">
            <w:pPr>
              <w:spacing w:after="0" w:line="240" w:lineRule="auto"/>
              <w:jc w:val="center"/>
            </w:pPr>
            <w:r>
              <w:rPr>
                <w:rFonts w:eastAsia="Times New Roman" w:cs="Times New Roman"/>
                <w:sz w:val="16"/>
              </w:rPr>
              <w:t>8.50</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8C0A0E8" w14:textId="77777777" w:rsidR="00FE5CF5" w:rsidRDefault="00F3169B">
            <w:pPr>
              <w:spacing w:after="0" w:line="240" w:lineRule="auto"/>
              <w:jc w:val="center"/>
            </w:pPr>
            <w:r>
              <w:rPr>
                <w:rFonts w:eastAsia="Times New Roman" w:cs="Times New Roman"/>
                <w:sz w:val="16"/>
              </w:rPr>
              <w:t>none</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0E9D92C" w14:textId="77777777" w:rsidR="00FE5CF5" w:rsidRDefault="00F3169B">
            <w:pPr>
              <w:spacing w:after="0" w:line="240" w:lineRule="auto"/>
              <w:jc w:val="center"/>
            </w:pPr>
            <w:r>
              <w:rPr>
                <w:rFonts w:eastAsia="Times New Roman" w:cs="Times New Roman"/>
                <w:sz w:val="16"/>
              </w:rPr>
              <w:t>0.4938</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63D2E3E" w14:textId="77777777" w:rsidR="00FE5CF5" w:rsidRDefault="00F3169B">
            <w:pPr>
              <w:spacing w:after="0" w:line="240" w:lineRule="auto"/>
              <w:jc w:val="center"/>
            </w:pPr>
            <w:r>
              <w:rPr>
                <w:rFonts w:eastAsia="Times New Roman" w:cs="Times New Roman"/>
                <w:sz w:val="16"/>
              </w:rPr>
              <w:t>0.729</w:t>
            </w:r>
          </w:p>
        </w:tc>
      </w:tr>
      <w:tr w:rsidR="00FE5CF5" w14:paraId="69D469BE" w14:textId="77777777">
        <w:trPr>
          <w:jc w:val="center"/>
        </w:trPr>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570438F" w14:textId="77777777" w:rsidR="00FE5CF5" w:rsidRDefault="00F3169B">
            <w:pPr>
              <w:spacing w:after="0" w:line="240" w:lineRule="auto"/>
            </w:pPr>
            <w:r>
              <w:rPr>
                <w:rFonts w:eastAsia="Times New Roman" w:cs="Times New Roman"/>
                <w:sz w:val="16"/>
              </w:rPr>
              <w:t>120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EDC72F5" w14:textId="77777777" w:rsidR="00FE5CF5" w:rsidRDefault="00F3169B">
            <w:pPr>
              <w:spacing w:after="0" w:line="240" w:lineRule="auto"/>
              <w:jc w:val="center"/>
            </w:pPr>
            <w:r>
              <w:rPr>
                <w:rFonts w:eastAsia="Times New Roman" w:cs="Times New Roman"/>
                <w:sz w:val="16"/>
              </w:rPr>
              <w:t>1.3619</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A32E8B6" w14:textId="77777777" w:rsidR="00FE5CF5" w:rsidRDefault="00F3169B">
            <w:pPr>
              <w:spacing w:after="0" w:line="240" w:lineRule="auto"/>
              <w:jc w:val="center"/>
            </w:pPr>
            <w:r>
              <w:rPr>
                <w:rFonts w:eastAsia="Times New Roman" w:cs="Times New Roman"/>
                <w:sz w:val="16"/>
              </w:rPr>
              <w:t>6.01</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E166170" w14:textId="77777777" w:rsidR="00FE5CF5" w:rsidRDefault="00F3169B">
            <w:pPr>
              <w:spacing w:after="0" w:line="240" w:lineRule="auto"/>
              <w:jc w:val="center"/>
            </w:pPr>
            <w:r>
              <w:rPr>
                <w:rFonts w:eastAsia="Times New Roman" w:cs="Times New Roman"/>
                <w:sz w:val="16"/>
              </w:rPr>
              <w:t>none</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BA4DEED" w14:textId="77777777" w:rsidR="00FE5CF5" w:rsidRDefault="00F3169B">
            <w:pPr>
              <w:spacing w:after="0" w:line="240" w:lineRule="auto"/>
              <w:jc w:val="center"/>
            </w:pPr>
            <w:r>
              <w:rPr>
                <w:rFonts w:eastAsia="Times New Roman" w:cs="Times New Roman"/>
                <w:sz w:val="16"/>
              </w:rPr>
              <w:t>0.7448</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F0910C1" w14:textId="77777777" w:rsidR="00FE5CF5" w:rsidRDefault="00F3169B">
            <w:pPr>
              <w:spacing w:after="0" w:line="240" w:lineRule="auto"/>
              <w:jc w:val="center"/>
            </w:pPr>
            <w:r>
              <w:rPr>
                <w:rFonts w:eastAsia="Times New Roman" w:cs="Times New Roman"/>
                <w:sz w:val="16"/>
              </w:rPr>
              <w:t>0.483</w:t>
            </w:r>
          </w:p>
        </w:tc>
      </w:tr>
      <w:tr w:rsidR="00FE5CF5" w14:paraId="32863DDE" w14:textId="77777777">
        <w:trP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4E98F9E" w14:textId="77777777" w:rsidR="00FE5CF5" w:rsidRDefault="00F3169B">
            <w:pPr>
              <w:spacing w:after="0" w:line="240" w:lineRule="auto"/>
            </w:pPr>
            <w:r>
              <w:rPr>
                <w:rFonts w:eastAsia="Times New Roman" w:cs="Times New Roman"/>
                <w:sz w:val="16"/>
              </w:rPr>
              <w:t>150</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F3761F6" w14:textId="77777777" w:rsidR="00FE5CF5" w:rsidRDefault="00F3169B">
            <w:pPr>
              <w:spacing w:after="0" w:line="240" w:lineRule="auto"/>
              <w:jc w:val="center"/>
            </w:pPr>
            <w:r>
              <w:rPr>
                <w:rFonts w:eastAsia="Times New Roman" w:cs="Times New Roman"/>
                <w:sz w:val="16"/>
              </w:rPr>
              <w:t>1.3435</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AB5F1BB" w14:textId="77777777" w:rsidR="00FE5CF5" w:rsidRDefault="00F3169B">
            <w:pPr>
              <w:spacing w:after="0" w:line="240" w:lineRule="auto"/>
              <w:jc w:val="center"/>
            </w:pPr>
            <w:r>
              <w:rPr>
                <w:rFonts w:eastAsia="Times New Roman" w:cs="Times New Roman"/>
                <w:sz w:val="16"/>
              </w:rPr>
              <w:t>4.99</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1078B31" w14:textId="77777777" w:rsidR="00FE5CF5" w:rsidRDefault="00F3169B">
            <w:pPr>
              <w:spacing w:after="0" w:line="240" w:lineRule="auto"/>
              <w:jc w:val="center"/>
            </w:pPr>
            <w:r>
              <w:rPr>
                <w:rFonts w:eastAsia="Times New Roman" w:cs="Times New Roman"/>
                <w:sz w:val="16"/>
              </w:rPr>
              <w:t>1.3434–1.3435</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973C518" w14:textId="77777777" w:rsidR="00FE5CF5" w:rsidRDefault="00F3169B">
            <w:pPr>
              <w:spacing w:after="0" w:line="240" w:lineRule="auto"/>
              <w:jc w:val="center"/>
            </w:pPr>
            <w:r>
              <w:rPr>
                <w:rFonts w:eastAsia="Times New Roman" w:cs="Times New Roman"/>
                <w:sz w:val="16"/>
              </w:rPr>
              <w:t>1.1624</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95D11F1" w14:textId="77777777" w:rsidR="00FE5CF5" w:rsidRDefault="00F3169B">
            <w:pPr>
              <w:spacing w:after="0" w:line="240" w:lineRule="auto"/>
              <w:jc w:val="center"/>
            </w:pPr>
            <w:r>
              <w:rPr>
                <w:rFonts w:eastAsia="Times New Roman" w:cs="Times New Roman"/>
                <w:sz w:val="16"/>
              </w:rPr>
              <w:t>0.310</w:t>
            </w:r>
          </w:p>
        </w:tc>
      </w:tr>
    </w:tbl>
    <w:p w14:paraId="63003607" w14:textId="77777777" w:rsidR="00FE5CF5" w:rsidRDefault="00FE5CF5">
      <w:pPr>
        <w:spacing w:after="40"/>
      </w:pPr>
    </w:p>
    <w:p w14:paraId="1A259638" w14:textId="77777777" w:rsidR="00FE5CF5" w:rsidRDefault="00F3169B">
      <w:pPr>
        <w:pStyle w:val="21"/>
      </w:pPr>
      <w:r>
        <w:rPr>
          <w:rFonts w:ascii="Times New Roman" w:eastAsia="Times New Roman" w:hAnsi="Times New Roman" w:cs="Times New Roman"/>
        </w:rPr>
        <w:t>E. The result translates into a package-shape specification</w:t>
      </w:r>
    </w:p>
    <w:p w14:paraId="2F00967F" w14:textId="582CDAEB" w:rsidR="00FE5CF5" w:rsidRDefault="00F3169B">
      <w:pPr>
        <w:jc w:val="both"/>
      </w:pPr>
      <w:r>
        <w:rPr>
          <w:rFonts w:eastAsia="Times New Roman" w:cs="Times New Roman"/>
        </w:rPr>
        <w:t>The lattice-derived density is 4.206 g cm</w:t>
      </w:r>
      <m:oMath>
        <m:sSup>
          <m:sSupPr>
            <m:ctrlPr>
              <w:rPr>
                <w:rFonts w:ascii="Cambria Math" w:hAnsi="Cambria Math"/>
              </w:rPr>
            </m:ctrlPr>
          </m:sSupPr>
          <m:e/>
          <m:sup>
            <m:r>
              <m:rPr>
                <m:sty m:val="p"/>
              </m:rPr>
              <w:rPr>
                <w:rFonts w:ascii="Cambria Math" w:hAnsi="Cambria Math"/>
              </w:rPr>
              <m:t>-3</m:t>
            </m:r>
          </m:sup>
        </m:sSup>
      </m:oMath>
      <w:r>
        <w:rPr>
          <w:rFonts w:eastAsia="Times New Roman" w:cs="Times New Roman"/>
        </w:rPr>
        <w:t xml:space="preserve">. Before the size-transfer test, the N=12 scenario set implied 3.96, 3.07, 2.03, and 1.30 g of ideal magnetic </w:t>
      </w:r>
      <w:r>
        <w:rPr>
          <w:rFonts w:eastAsia="Times New Roman" w:cs="Times New Roman"/>
        </w:rPr>
        <w:t xml:space="preserve">material for a 0.10 microWatt, 60 min magnetic-only hold at 90, 100, 120, and 150 mK. The public 1.65 g sample-equivalent volume then implied conditional holds of 25.0, 32.3, 48.7, and 76.0 min. Because N=18 changes both peak position and peak heat, these </w:t>
      </w:r>
      <w:r>
        <w:rPr>
          <w:rFonts w:eastAsia="Times New Roman" w:cs="Times New Roman"/>
        </w:rPr>
        <w:t>are now pre-convergence scaling examples rather than refrigerant acceptance values.</w:t>
      </w:r>
    </w:p>
    <w:p w14:paraId="449A49CC" w14:textId="77777777" w:rsidR="00FE5CF5" w:rsidRDefault="00F3169B">
      <w:pPr>
        <w:jc w:val="both"/>
      </w:pPr>
      <w:r>
        <w:rPr>
          <w:rFonts w:eastAsia="Times New Roman" w:cs="Times New Roman"/>
        </w:rPr>
        <w:t>The separated steady-load envelope shows how those N=12 examples scale: at 90 mK, adding 0.20 or 0.97 microWatt of steady parasitics raises the former 3.96 g value to 11.87</w:t>
      </w:r>
      <w:r>
        <w:rPr>
          <w:rFonts w:eastAsia="Times New Roman" w:cs="Times New Roman"/>
        </w:rPr>
        <w:t xml:space="preserve"> or 42.35 g. These coordinates come from different architectures and refrigerants [14,15]. They verify the load-scaling calculation, but the failed size gate prevents their use as NBCP inventory predictions.</w:t>
      </w:r>
    </w:p>
    <w:p w14:paraId="6E0DF1C5" w14:textId="77777777" w:rsidR="00FE5CF5" w:rsidRDefault="00F3169B">
      <w:pPr>
        <w:jc w:val="both"/>
      </w:pPr>
      <w:r>
        <w:rPr>
          <w:rFonts w:eastAsia="Times New Roman" w:cs="Times New Roman"/>
        </w:rPr>
        <w:t xml:space="preserve">These numbers specify magnetic inventory rather </w:t>
      </w:r>
      <w:r>
        <w:rPr>
          <w:rFonts w:eastAsia="Times New Roman" w:cs="Times New Roman"/>
        </w:rPr>
        <w:t>than finished-device performance. Packing voids, binder, a thermal bus, addenda, heat switches, wiring, contact resistance, leakage, and irreversible ramp loss must be added to the total load and volume. The design chart is therefore directly scalable by a</w:t>
      </w:r>
      <w:r>
        <w:rPr>
          <w:rFonts w:eastAsia="Times New Roman" w:cs="Times New Roman"/>
        </w:rPr>
        <w:t xml:space="preserve"> measured or specified total cold load without presenting generic parasitic-load assumptions as NBCP data.</w:t>
      </w:r>
    </w:p>
    <w:p w14:paraId="28010A87" w14:textId="77777777" w:rsidR="00FE5CF5" w:rsidRDefault="00F3169B">
      <w:pPr>
        <w:jc w:val="both"/>
      </w:pPr>
      <w:r>
        <w:rPr>
          <w:rFonts w:eastAsia="Times New Roman" w:cs="Times New Roman"/>
        </w:rPr>
        <w:t>The parametric transient envelope is likewise retained only as a reproducible scaling rule. At zero specified parasitic load, transient allocations o</w:t>
      </w:r>
      <w:r>
        <w:rPr>
          <w:rFonts w:eastAsia="Times New Roman" w:cs="Times New Roman"/>
        </w:rPr>
        <w:t>f 10%, 25%, and 50% multiply the pre-convergence 90 mK mass to 4.40, 5.28, and 7.92 g. The 82 s measured recycle coordinate and 6.5 min target midpoint give single-stage duties of 97.8% and 90.2% for a 60 min hold. Final mass requires a bulk-converged or m</w:t>
      </w:r>
      <w:r>
        <w:rPr>
          <w:rFonts w:eastAsia="Times New Roman" w:cs="Times New Roman"/>
        </w:rPr>
        <w:t>easured heat profile in addition to actual stage losses.</w:t>
      </w:r>
    </w:p>
    <w:p w14:paraId="4AFDAF8A" w14:textId="77777777" w:rsidR="00FE5CF5" w:rsidRDefault="00F3169B">
      <w:pPr>
        <w:keepNext/>
        <w:spacing w:before="80" w:after="40"/>
        <w:jc w:val="center"/>
      </w:pPr>
      <w:r>
        <w:rPr>
          <w:noProof/>
        </w:rPr>
        <w:drawing>
          <wp:inline distT="0" distB="0" distL="0" distR="0" wp14:anchorId="361401AF" wp14:editId="389156F0">
            <wp:extent cx="6172200" cy="1800225"/>
            <wp:effectExtent l="0" t="0" r="0" b="0"/>
            <wp:docPr id="7" name="Picture 7" descr="Refrigerator field and material desig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rigerator_design_chart.png"/>
                    <pic:cNvPicPr/>
                  </pic:nvPicPr>
                  <pic:blipFill>
                    <a:blip r:embed="rId14"/>
                    <a:stretch>
                      <a:fillRect/>
                    </a:stretch>
                  </pic:blipFill>
                  <pic:spPr>
                    <a:xfrm>
                      <a:off x="0" y="0"/>
                      <a:ext cx="6172200" cy="1800225"/>
                    </a:xfrm>
                    <a:prstGeom prst="rect">
                      <a:avLst/>
                    </a:prstGeom>
                  </pic:spPr>
                </pic:pic>
              </a:graphicData>
            </a:graphic>
          </wp:inline>
        </w:drawing>
      </w:r>
    </w:p>
    <w:p w14:paraId="01441A74" w14:textId="2B75F1AF" w:rsidR="00FE5CF5" w:rsidRDefault="00F3169B">
      <w:pPr>
        <w:pStyle w:val="af0"/>
      </w:pPr>
      <w:r>
        <w:rPr>
          <w:rFonts w:eastAsia="Times New Roman" w:cs="Times New Roman"/>
        </w:rPr>
        <w:t>Figure 7.</w:t>
      </w:r>
      <w:r>
        <w:rPr>
          <w:rFonts w:eastAsia="Times New Roman" w:cs="Times New Roman"/>
          <w:b w:val="0"/>
        </w:rPr>
        <w:t xml:space="preserve"> N=12-conditional design chart retained for provenance. (a) Former minimax field and </w:t>
      </w:r>
      <m:oMath>
        <m:sSub>
          <m:sSubPr>
            <m:ctrlPr>
              <w:rPr>
                <w:rFonts w:ascii="Cambria Math" w:hAnsi="Cambria Math"/>
              </w:rPr>
            </m:ctrlPr>
          </m:sSubPr>
          <m:e>
            <m:r>
              <m:rPr>
                <m:sty m:val="b"/>
              </m:rPr>
              <w:rPr>
                <w:rFonts w:ascii="Cambria Math" w:hAnsi="Cambria Math"/>
              </w:rPr>
              <m:t>W</m:t>
            </m:r>
          </m:e>
          <m:sub>
            <m:r>
              <m:rPr>
                <m:sty m:val="b"/>
              </m:rPr>
              <w:rPr>
                <w:rFonts w:ascii="Cambria Math" w:hAnsi="Cambria Math"/>
              </w:rPr>
              <m:t>95</m:t>
            </m:r>
          </m:sub>
        </m:sSub>
      </m:oMath>
      <w:r>
        <w:rPr>
          <w:rFonts w:eastAsia="Times New Roman" w:cs="Times New Roman"/>
          <w:b w:val="0"/>
        </w:rPr>
        <w:t xml:space="preserve"> result. (b) Pre-convergence NBCP mass for a 60 min magnetic-only hold. (c) Corresponding hold of a volume equivalent to the public 1.65 g sample. None is a final acceptance value after the N=18 size gate fails.</w:t>
      </w:r>
    </w:p>
    <w:p w14:paraId="2CB77509" w14:textId="049B5814" w:rsidR="00FE5CF5" w:rsidRDefault="00F3169B">
      <w:pPr>
        <w:jc w:val="both"/>
      </w:pPr>
      <w:r>
        <w:rPr>
          <w:rFonts w:eastAsia="Times New Roman" w:cs="Times New Roman"/>
        </w:rPr>
        <w:t>The macroscopic field coordinate is independ</w:t>
      </w:r>
      <w:r>
        <w:rPr>
          <w:rFonts w:eastAsia="Times New Roman" w:cs="Times New Roman"/>
        </w:rPr>
        <w:t xml:space="preserve">ently first-order. The equal-volume spheroid for the public plate has </w:t>
      </w:r>
      <m:oMath>
        <m:f>
          <m:fPr>
            <m:ctrlPr>
              <w:rPr>
                <w:rFonts w:ascii="Cambria Math" w:hAnsi="Cambria Math"/>
              </w:rPr>
            </m:ctrlPr>
          </m:fPr>
          <m:num>
            <m:r>
              <m:rPr>
                <m:sty m:val="p"/>
              </m:rPr>
              <w:rPr>
                <w:rFonts w:ascii="Cambria Math" w:hAnsi="Cambria Math"/>
              </w:rPr>
              <m:t>c</m:t>
            </m:r>
          </m:num>
          <m:den>
            <m:r>
              <m:rPr>
                <m:sty m:val="p"/>
              </m:rPr>
              <w:rPr>
                <w:rFonts w:ascii="Cambria Math" w:hAnsi="Cambria Math"/>
              </w:rPr>
              <m:t>a</m:t>
            </m:r>
          </m:den>
        </m:f>
        <m:r>
          <m:rPr>
            <m:sty m:val="p"/>
          </m:rPr>
          <w:rPr>
            <w:rFonts w:ascii="Cambria Math" w:hAnsi="Cambria Math"/>
          </w:rPr>
          <m:t>=0.122</m:t>
        </m:r>
      </m:oMath>
      <w:r>
        <w:rPr>
          <w:rFonts w:eastAsia="Times New Roman" w:cs="Times New Roman"/>
        </w:rPr>
        <w:t xml:space="preserve">,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z</m:t>
            </m:r>
          </m:sub>
        </m:sSub>
        <m:r>
          <m:rPr>
            <m:sty m:val="p"/>
          </m:rPr>
          <w:rPr>
            <w:rFonts w:ascii="Cambria Math" w:hAnsi="Cambria Math"/>
          </w:rPr>
          <m:t>=0.834</m:t>
        </m:r>
      </m:oMath>
      <w:r>
        <w:rPr>
          <w:rFonts w:eastAsia="Times New Roman" w:cs="Times New Roman"/>
        </w:rPr>
        <w:t xml:space="preserve">, and a saturation demagnetization bound of 0.136 T, close to the source-reported 8% scale [20]. Even a sphere gives 0.0545 T. To bound the conservative correction </w:t>
      </w:r>
      <w:r>
        <w:rPr>
          <w:rFonts w:eastAsia="Times New Roman" w:cs="Times New Roman"/>
        </w:rPr>
        <w:t xml:space="preserve">below 0.05, 0.02, or 0.01 T, the refrigerant must have its long dimension parallel to </w:t>
      </w:r>
      <m:oMath>
        <m:r>
          <m:rPr>
            <m:sty m:val="p"/>
          </m:rPr>
          <w:rPr>
            <w:rFonts w:ascii="Cambria Math" w:hAnsi="Cambria Math"/>
          </w:rPr>
          <m:t>c</m:t>
        </m:r>
      </m:oMath>
      <w:r>
        <w:rPr>
          <w:rFonts w:eastAsia="Times New Roman" w:cs="Times New Roman"/>
        </w:rPr>
        <w:t xml:space="preserve"> with </w:t>
      </w:r>
      <m:oMath>
        <m:f>
          <m:fPr>
            <m:ctrlPr>
              <w:rPr>
                <w:rFonts w:ascii="Cambria Math" w:hAnsi="Cambria Math"/>
              </w:rPr>
            </m:ctrlPr>
          </m:fPr>
          <m:num>
            <m:r>
              <m:rPr>
                <m:sty m:val="p"/>
              </m:rPr>
              <w:rPr>
                <w:rFonts w:ascii="Cambria Math" w:hAnsi="Cambria Math"/>
              </w:rPr>
              <m:t>c</m:t>
            </m:r>
          </m:num>
          <m:den>
            <m:r>
              <m:rPr>
                <m:sty m:val="p"/>
              </m:rPr>
              <w:rPr>
                <w:rFonts w:ascii="Cambria Math" w:hAnsi="Cambria Math"/>
              </w:rPr>
              <m:t>a</m:t>
            </m:r>
          </m:den>
        </m:f>
        <m:r>
          <m:rPr>
            <m:sty m:val="p"/>
          </m:rPr>
          <w:rPr>
            <w:rFonts w:ascii="Cambria Math" w:hAnsi="Cambria Math"/>
          </w:rPr>
          <m:t>≥1.11</m:t>
        </m:r>
      </m:oMath>
      <w:r>
        <w:rPr>
          <w:rFonts w:eastAsia="Times New Roman" w:cs="Times New Roman"/>
        </w:rPr>
        <w:t>, 2.72, or 4.68, respectively. The public 1.65 g sample column has a reported comparison volume but no public dimensions, so no exact applied-field set poi</w:t>
      </w:r>
      <w:r>
        <w:rPr>
          <w:rFonts w:eastAsia="Times New Roman" w:cs="Times New Roman"/>
        </w:rPr>
        <w:t>nt can be assigned to it.</w:t>
      </w:r>
    </w:p>
    <w:p w14:paraId="1511AA26" w14:textId="77777777" w:rsidR="00FE5CF5" w:rsidRDefault="00F3169B">
      <w:pPr>
        <w:keepNext/>
        <w:spacing w:before="80" w:after="40"/>
        <w:jc w:val="center"/>
      </w:pPr>
      <w:r>
        <w:rPr>
          <w:noProof/>
        </w:rPr>
        <w:drawing>
          <wp:inline distT="0" distB="0" distL="0" distR="0" wp14:anchorId="3AC11027" wp14:editId="1B956F47">
            <wp:extent cx="6172200" cy="3836772"/>
            <wp:effectExtent l="0" t="0" r="0" b="0"/>
            <wp:docPr id="8" name="Picture 8" descr="Sample demagnetization and package-shape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demagnetization_envelope.png"/>
                    <pic:cNvPicPr/>
                  </pic:nvPicPr>
                  <pic:blipFill>
                    <a:blip r:embed="rId15"/>
                    <a:stretch>
                      <a:fillRect/>
                    </a:stretch>
                  </pic:blipFill>
                  <pic:spPr>
                    <a:xfrm>
                      <a:off x="0" y="0"/>
                      <a:ext cx="6172200" cy="3836772"/>
                    </a:xfrm>
                    <a:prstGeom prst="rect">
                      <a:avLst/>
                    </a:prstGeom>
                  </pic:spPr>
                </pic:pic>
              </a:graphicData>
            </a:graphic>
          </wp:inline>
        </w:drawing>
      </w:r>
    </w:p>
    <w:p w14:paraId="61B9248B" w14:textId="0B280A2C" w:rsidR="00FE5CF5" w:rsidRDefault="00F3169B">
      <w:pPr>
        <w:pStyle w:val="af0"/>
      </w:pPr>
      <w:r>
        <w:rPr>
          <w:rFonts w:eastAsia="Times New Roman" w:cs="Times New Roman"/>
        </w:rPr>
        <w:t>Figure 8.</w:t>
      </w:r>
      <w:r>
        <w:rPr>
          <w:rFonts w:eastAsia="Times New Roman" w:cs="Times New Roman"/>
          <w:b w:val="0"/>
        </w:rPr>
        <w:t xml:space="preserve"> Conservative saturation demagnetization bound for equal-volume spheroids with the field parallel to </w:t>
      </w:r>
      <m:oMath>
        <m:r>
          <m:rPr>
            <m:sty m:val="b"/>
          </m:rPr>
          <w:rPr>
            <w:rFonts w:ascii="Cambria Math" w:hAnsi="Cambria Math"/>
          </w:rPr>
          <m:t>c</m:t>
        </m:r>
      </m:oMath>
      <w:r>
        <w:rPr>
          <w:rFonts w:eastAsia="Times New Roman" w:cs="Times New Roman"/>
          <w:b w:val="0"/>
        </w:rPr>
        <w:t>. Dashed lines mark the aspect-ratio thresholds for 50, 20, and 10 mT; the red point is the public plate geometry. Th</w:t>
      </w:r>
      <w:r>
        <w:rPr>
          <w:rFonts w:eastAsia="Times New Roman" w:cs="Times New Roman"/>
          <w:b w:val="0"/>
        </w:rPr>
        <w:t xml:space="preserve">e curve is an upper envelope rather than a substitute for measured </w:t>
      </w:r>
      <m:oMath>
        <m:r>
          <m:rPr>
            <m:sty m:val="b"/>
          </m:rPr>
          <w:rPr>
            <w:rFonts w:ascii="Cambria Math" w:hAnsi="Cambria Math"/>
          </w:rPr>
          <m:t>M</m:t>
        </m:r>
        <m:d>
          <m:dPr>
            <m:ctrlPr>
              <w:rPr>
                <w:rFonts w:ascii="Cambria Math" w:hAnsi="Cambria Math"/>
              </w:rPr>
            </m:ctrlPr>
          </m:dPr>
          <m:e>
            <m:r>
              <m:rPr>
                <m:sty m:val="b"/>
              </m:rPr>
              <w:rPr>
                <w:rFonts w:ascii="Cambria Math" w:hAnsi="Cambria Math"/>
              </w:rPr>
              <m:t>B,T</m:t>
            </m:r>
          </m:e>
        </m:d>
      </m:oMath>
      <w:r>
        <w:rPr>
          <w:rFonts w:eastAsia="Times New Roman" w:cs="Times New Roman"/>
          <w:b w:val="0"/>
        </w:rPr>
        <w:t>.</w:t>
      </w:r>
    </w:p>
    <w:p w14:paraId="16BBDB8D" w14:textId="77777777" w:rsidR="00FE5CF5" w:rsidRDefault="00F3169B">
      <w:pPr>
        <w:pStyle w:val="21"/>
      </w:pPr>
      <w:r>
        <w:rPr>
          <w:rFonts w:ascii="Times New Roman" w:eastAsia="Times New Roman" w:hAnsi="Times New Roman" w:cs="Times New Roman"/>
        </w:rPr>
        <w:t>F. An independent public device validates the stage heat balance</w:t>
      </w:r>
    </w:p>
    <w:p w14:paraId="3FE2735C" w14:textId="77777777" w:rsidR="00FE5CF5" w:rsidRDefault="00F3169B">
      <w:pPr>
        <w:jc w:val="both"/>
      </w:pPr>
      <w:r>
        <w:rPr>
          <w:rFonts w:eastAsia="Times New Roman" w:cs="Times New Roman"/>
        </w:rPr>
        <w:t>The two YbNi₁.₆Sn warm-up curves provide a device-level test that is independent of NBCP. A joint fit over 0.21–0.25</w:t>
      </w:r>
      <w:r>
        <w:rPr>
          <w:rFonts w:eastAsia="Times New Roman" w:cs="Times New Roman"/>
        </w:rPr>
        <w:t xml:space="preserve"> K gives an effective refrigerant mass of 15.22 g, only 1.48% above the separately reported approximate 15 g, and a steady parasitic load of 0.254 microWatt, below the separately reported 0.4 microWatt upper bound [19]. Neither published quantity is impose</w:t>
      </w:r>
      <w:r>
        <w:rPr>
          <w:rFonts w:eastAsia="Times New Roman" w:cs="Times New Roman"/>
        </w:rPr>
        <w:t>d as a fitting constraint.</w:t>
      </w:r>
    </w:p>
    <w:p w14:paraId="6D7060AB" w14:textId="77777777" w:rsidR="00FE5CF5" w:rsidRDefault="00F3169B">
      <w:pPr>
        <w:jc w:val="both"/>
      </w:pPr>
      <w:r>
        <w:rPr>
          <w:rFonts w:eastAsia="Times New Roman" w:cs="Times New Roman"/>
        </w:rPr>
        <w:t>With those two fitted quantities frozen, the 0.25–0.28 K holdout is predicted with 0.592% normalized root-mean-square error and 1.27% maximum error relative to the full-interval enthalpy. After adding the fitted parasitic load, t</w:t>
      </w:r>
      <w:r>
        <w:rPr>
          <w:rFonts w:eastAsia="Times New Roman" w:cs="Times New Roman"/>
        </w:rPr>
        <w:t>he independently recorded 2.5 and 5.0 microWatt energy curves collapse with 0.762% normalized root-mean-square difference. Omitting the source-reported nuclear heat capacity raises the holdout error from 0.592% to 0.761% and shifts the inferred mass to 15.</w:t>
      </w:r>
      <w:r>
        <w:rPr>
          <w:rFonts w:eastAsia="Times New Roman" w:cs="Times New Roman"/>
        </w:rPr>
        <w:t>81 g. Thus, the same heat-capacity integration and steady-load identity used for the NBCP sizing envelope recover both a known device mass scale and an independently bounded heat leak.</w:t>
      </w:r>
    </w:p>
    <w:p w14:paraId="0B396E92" w14:textId="77777777" w:rsidR="00FE5CF5" w:rsidRDefault="00F3169B">
      <w:pPr>
        <w:keepNext/>
        <w:spacing w:before="80" w:after="40"/>
        <w:jc w:val="center"/>
      </w:pPr>
      <w:r>
        <w:rPr>
          <w:noProof/>
        </w:rPr>
        <w:drawing>
          <wp:inline distT="0" distB="0" distL="0" distR="0" wp14:anchorId="4EDAB8BB" wp14:editId="37EDB1C7">
            <wp:extent cx="6172200" cy="1847313"/>
            <wp:effectExtent l="0" t="0" r="0" b="0"/>
            <wp:docPr id="9" name="Picture 9" descr="Independent public-device heat-balance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bni16sn_stage_heat_balance_validation.png"/>
                    <pic:cNvPicPr/>
                  </pic:nvPicPr>
                  <pic:blipFill>
                    <a:blip r:embed="rId16"/>
                    <a:stretch>
                      <a:fillRect/>
                    </a:stretch>
                  </pic:blipFill>
                  <pic:spPr>
                    <a:xfrm>
                      <a:off x="0" y="0"/>
                      <a:ext cx="6172200" cy="1847313"/>
                    </a:xfrm>
                    <a:prstGeom prst="rect">
                      <a:avLst/>
                    </a:prstGeom>
                  </pic:spPr>
                </pic:pic>
              </a:graphicData>
            </a:graphic>
          </wp:inline>
        </w:drawing>
      </w:r>
    </w:p>
    <w:p w14:paraId="355380A0" w14:textId="77777777" w:rsidR="00FE5CF5" w:rsidRDefault="00F3169B">
      <w:pPr>
        <w:pStyle w:val="af0"/>
      </w:pPr>
      <w:r>
        <w:rPr>
          <w:rFonts w:eastAsia="Times New Roman" w:cs="Times New Roman"/>
        </w:rPr>
        <w:t>Figure 9.</w:t>
      </w:r>
      <w:r>
        <w:rPr>
          <w:rFonts w:eastAsia="Times New Roman" w:cs="Times New Roman"/>
          <w:b w:val="0"/>
        </w:rPr>
        <w:t xml:space="preserve"> (a) Public warm-up trajectories for one YbNi₁.₆Sn pill unde</w:t>
      </w:r>
      <w:r>
        <w:rPr>
          <w:rFonts w:eastAsia="Times New Roman" w:cs="Times New Roman"/>
          <w:b w:val="0"/>
        </w:rPr>
        <w:t xml:space="preserve">r 2.5 and 5.0 microWatt labelled heat inputs. (b) Accumulated input energy after fitting one common mass and parasitic load below 0.25 K; the dashed curve is the independent zero-field heat-capacity integral. (c) Residuals normalized by the full 0.21–0.28 </w:t>
      </w:r>
      <w:r>
        <w:rPr>
          <w:rFonts w:eastAsia="Times New Roman" w:cs="Times New Roman"/>
          <w:b w:val="0"/>
        </w:rPr>
        <w:t>K enthalpy. The dotted line separates calibration from the held-out temperature interval.</w:t>
      </w:r>
    </w:p>
    <w:p w14:paraId="5F7A4CB2" w14:textId="77777777" w:rsidR="00FE5CF5" w:rsidRDefault="00F3169B">
      <w:pPr>
        <w:pStyle w:val="21"/>
      </w:pPr>
      <w:r>
        <w:rPr>
          <w:rFonts w:ascii="Times New Roman" w:eastAsia="Times New Roman" w:hAnsi="Times New Roman" w:cs="Times New Roman"/>
        </w:rPr>
        <w:t>G. Direct public data give a temperature-dependent field schedule</w:t>
      </w:r>
    </w:p>
    <w:p w14:paraId="71DD28F2" w14:textId="77777777" w:rsidR="00FE5CF5" w:rsidRDefault="00F3169B">
      <w:pPr>
        <w:jc w:val="both"/>
      </w:pPr>
      <w:r>
        <w:rPr>
          <w:rFonts w:eastAsia="Times New Roman" w:cs="Times New Roman"/>
        </w:rPr>
        <w:t xml:space="preserve">Table III uses only published central-value entropy curves and compares the measured fields </w:t>
      </w:r>
      <w:r>
        <w:rPr>
          <w:rFonts w:eastAsia="Times New Roman" w:cs="Times New Roman"/>
        </w:rPr>
        <w:t>without field interpolation.</w:t>
      </w:r>
    </w:p>
    <w:p w14:paraId="4C78B56A" w14:textId="58FCE096" w:rsidR="00FE5CF5" w:rsidRDefault="00F3169B">
      <w:pPr>
        <w:pStyle w:val="af0"/>
      </w:pPr>
      <w:r>
        <w:rPr>
          <w:rFonts w:eastAsia="Times New Roman" w:cs="Times New Roman"/>
        </w:rPr>
        <w:t>Table III. Direct 90–300 mK candidate-field decisions.</w:t>
      </w:r>
      <w:r>
        <w:rPr>
          <w:rFonts w:eastAsia="Times New Roman" w:cs="Times New Roman"/>
          <w:b w:val="0"/>
        </w:rPr>
        <w:t xml:space="preserve"> </w:t>
      </w:r>
      <m:oMath>
        <m:sSub>
          <m:sSubPr>
            <m:ctrlPr>
              <w:rPr>
                <w:rFonts w:ascii="Cambria Math" w:hAnsi="Cambria Math"/>
              </w:rPr>
            </m:ctrlPr>
          </m:sSubPr>
          <m:e>
            <m:r>
              <m:rPr>
                <m:sty m:val="b"/>
              </m:rPr>
              <w:rPr>
                <w:rFonts w:ascii="Cambria Math" w:hAnsi="Cambria Math"/>
              </w:rPr>
              <m:t>W</m:t>
            </m:r>
          </m:e>
          <m:sub>
            <m:r>
              <m:rPr>
                <m:sty m:val="b"/>
              </m:rPr>
              <w:rPr>
                <w:rFonts w:ascii="Cambria Math" w:hAnsi="Cambria Math"/>
              </w:rPr>
              <m:t>95</m:t>
            </m:r>
          </m:sub>
        </m:sSub>
      </m:oMath>
      <w:r>
        <w:rPr>
          <w:rFonts w:eastAsia="Times New Roman" w:cs="Times New Roman"/>
          <w:b w:val="0"/>
        </w:rPr>
        <w:t xml:space="preserve"> is a candidate set.</w:t>
      </w:r>
    </w:p>
    <w:tbl>
      <w:tblPr>
        <w:tblW w:w="0" w:type="auto"/>
        <w:jc w:val="center"/>
        <w:tblLook w:val="04A0" w:firstRow="1" w:lastRow="0" w:firstColumn="1" w:lastColumn="0" w:noHBand="0" w:noVBand="1"/>
      </w:tblPr>
      <w:tblGrid>
        <w:gridCol w:w="2469"/>
        <w:gridCol w:w="2469"/>
        <w:gridCol w:w="2469"/>
        <w:gridCol w:w="2469"/>
      </w:tblGrid>
      <w:tr w:rsidR="00FE5CF5" w14:paraId="0871C421" w14:textId="77777777">
        <w:trPr>
          <w:tblHeade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DD473C1" w14:textId="77777777" w:rsidR="00FE5CF5" w:rsidRDefault="00F3169B">
            <w:pPr>
              <w:spacing w:after="0" w:line="240" w:lineRule="auto"/>
            </w:pPr>
            <w:r>
              <w:rPr>
                <w:rFonts w:eastAsia="Times New Roman" w:cs="Times New Roman"/>
                <w:b/>
                <w:color w:val="FFFFFF"/>
                <w:sz w:val="16"/>
              </w:rPr>
              <w:t>Temperature (mK)</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6A69A18E" w14:textId="77777777" w:rsidR="00FE5CF5" w:rsidRDefault="00F3169B">
            <w:pPr>
              <w:spacing w:after="0" w:line="240" w:lineRule="auto"/>
              <w:jc w:val="center"/>
            </w:pPr>
            <w:r>
              <w:rPr>
                <w:rFonts w:eastAsia="Times New Roman" w:cs="Times New Roman"/>
                <w:b/>
                <w:color w:val="FFFFFF"/>
                <w:sz w:val="16"/>
              </w:rPr>
              <w:t>Best candidate (T)</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167BABF" w14:textId="09DE0AA7" w:rsidR="00FE5CF5" w:rsidRDefault="00F3169B">
            <w:pPr>
              <w:spacing w:after="0" w:line="240" w:lineRule="auto"/>
              <w:jc w:val="center"/>
            </w:pPr>
            <w:r>
              <w:rPr>
                <w:rFonts w:eastAsia="Times New Roman" w:cs="Times New Roman"/>
                <w:b/>
                <w:color w:val="FFFFFF"/>
                <w:sz w:val="16"/>
              </w:rPr>
              <w:t xml:space="preserve">Candidates in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b/>
                <w:color w:val="FFFFFF"/>
                <w:sz w:val="16"/>
              </w:rPr>
              <w:t xml:space="preserve"> (T)</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33741C63" w14:textId="05F6BF22" w:rsidR="00FE5CF5" w:rsidRDefault="00F3169B">
            <w:pPr>
              <w:spacing w:after="0" w:line="240" w:lineRule="auto"/>
              <w:jc w:val="cente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max</m:t>
                  </m:r>
                </m:sub>
              </m:sSub>
            </m:oMath>
            <w:r>
              <w:rPr>
                <w:rFonts w:eastAsia="Times New Roman" w:cs="Times New Roman"/>
                <w:b/>
                <w:color w:val="FFFFFF"/>
                <w:sz w:val="16"/>
              </w:rPr>
              <w:t xml:space="preserve"> (mJ cm−3)</w:t>
            </w:r>
          </w:p>
        </w:tc>
      </w:tr>
      <w:tr w:rsidR="00FE5CF5" w14:paraId="21F92448"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F7DE861" w14:textId="77777777" w:rsidR="00FE5CF5" w:rsidRDefault="00F3169B">
            <w:pPr>
              <w:spacing w:after="0" w:line="240" w:lineRule="auto"/>
            </w:pPr>
            <w:r>
              <w:rPr>
                <w:rFonts w:eastAsia="Times New Roman" w:cs="Times New Roman"/>
                <w:sz w:val="16"/>
              </w:rPr>
              <w:t>90</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C48822A" w14:textId="77777777" w:rsidR="00FE5CF5" w:rsidRDefault="00F3169B">
            <w:pPr>
              <w:spacing w:after="0" w:line="240" w:lineRule="auto"/>
              <w:jc w:val="center"/>
            </w:pPr>
            <w:r>
              <w:rPr>
                <w:rFonts w:eastAsia="Times New Roman" w:cs="Times New Roman"/>
                <w:sz w:val="16"/>
              </w:rPr>
              <w:t>1.5</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4B6768D" w14:textId="77777777" w:rsidR="00FE5CF5" w:rsidRDefault="00F3169B">
            <w:pPr>
              <w:spacing w:after="0" w:line="240" w:lineRule="auto"/>
              <w:jc w:val="center"/>
            </w:pPr>
            <w:r>
              <w:rPr>
                <w:rFonts w:eastAsia="Times New Roman" w:cs="Times New Roman"/>
                <w:sz w:val="16"/>
              </w:rPr>
              <w:t>1.5</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6EECB46" w14:textId="77777777" w:rsidR="00FE5CF5" w:rsidRDefault="00F3169B">
            <w:pPr>
              <w:spacing w:after="0" w:line="240" w:lineRule="auto"/>
              <w:jc w:val="center"/>
            </w:pPr>
            <w:r>
              <w:rPr>
                <w:rFonts w:eastAsia="Times New Roman" w:cs="Times New Roman"/>
                <w:sz w:val="16"/>
              </w:rPr>
              <w:t>0.5386</w:t>
            </w:r>
          </w:p>
        </w:tc>
      </w:tr>
      <w:tr w:rsidR="00FE5CF5" w14:paraId="47EBFE42"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DF1AE8D" w14:textId="77777777" w:rsidR="00FE5CF5" w:rsidRDefault="00F3169B">
            <w:pPr>
              <w:spacing w:after="0" w:line="240" w:lineRule="auto"/>
            </w:pPr>
            <w:r>
              <w:rPr>
                <w:rFonts w:eastAsia="Times New Roman" w:cs="Times New Roman"/>
                <w:sz w:val="16"/>
              </w:rPr>
              <w:t>100</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BC2539A" w14:textId="77777777" w:rsidR="00FE5CF5" w:rsidRDefault="00F3169B">
            <w:pPr>
              <w:spacing w:after="0" w:line="240" w:lineRule="auto"/>
              <w:jc w:val="center"/>
            </w:pPr>
            <w:r>
              <w:rPr>
                <w:rFonts w:eastAsia="Times New Roman" w:cs="Times New Roman"/>
                <w:sz w:val="16"/>
              </w:rPr>
              <w:t>1.5</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90E28DE" w14:textId="77777777" w:rsidR="00FE5CF5" w:rsidRDefault="00F3169B">
            <w:pPr>
              <w:spacing w:after="0" w:line="240" w:lineRule="auto"/>
              <w:jc w:val="center"/>
            </w:pPr>
            <w:r>
              <w:rPr>
                <w:rFonts w:eastAsia="Times New Roman" w:cs="Times New Roman"/>
                <w:sz w:val="16"/>
              </w:rPr>
              <w:t>1.5</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F42921B" w14:textId="77777777" w:rsidR="00FE5CF5" w:rsidRDefault="00F3169B">
            <w:pPr>
              <w:spacing w:after="0" w:line="240" w:lineRule="auto"/>
              <w:jc w:val="center"/>
            </w:pPr>
            <w:r>
              <w:rPr>
                <w:rFonts w:eastAsia="Times New Roman" w:cs="Times New Roman"/>
                <w:sz w:val="16"/>
              </w:rPr>
              <w:t>0.7223</w:t>
            </w:r>
          </w:p>
        </w:tc>
      </w:tr>
      <w:tr w:rsidR="00FE5CF5" w14:paraId="657FB070"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3860BC2" w14:textId="77777777" w:rsidR="00FE5CF5" w:rsidRDefault="00F3169B">
            <w:pPr>
              <w:spacing w:after="0" w:line="240" w:lineRule="auto"/>
            </w:pPr>
            <w:r>
              <w:rPr>
                <w:rFonts w:eastAsia="Times New Roman" w:cs="Times New Roman"/>
                <w:sz w:val="16"/>
              </w:rPr>
              <w:t>120</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87DECE5" w14:textId="77777777" w:rsidR="00FE5CF5" w:rsidRDefault="00F3169B">
            <w:pPr>
              <w:spacing w:after="0" w:line="240" w:lineRule="auto"/>
              <w:jc w:val="center"/>
            </w:pPr>
            <w:r>
              <w:rPr>
                <w:rFonts w:eastAsia="Times New Roman" w:cs="Times New Roman"/>
                <w:sz w:val="16"/>
              </w:rPr>
              <w:t>1.5</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1F5B161" w14:textId="77777777" w:rsidR="00FE5CF5" w:rsidRDefault="00F3169B">
            <w:pPr>
              <w:spacing w:after="0" w:line="240" w:lineRule="auto"/>
              <w:jc w:val="center"/>
            </w:pPr>
            <w:r>
              <w:rPr>
                <w:rFonts w:eastAsia="Times New Roman" w:cs="Times New Roman"/>
                <w:sz w:val="16"/>
              </w:rPr>
              <w:t>1.5, 1.3</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9A2CC2D" w14:textId="77777777" w:rsidR="00FE5CF5" w:rsidRDefault="00F3169B">
            <w:pPr>
              <w:spacing w:after="0" w:line="240" w:lineRule="auto"/>
              <w:jc w:val="center"/>
            </w:pPr>
            <w:r>
              <w:rPr>
                <w:rFonts w:eastAsia="Times New Roman" w:cs="Times New Roman"/>
                <w:sz w:val="16"/>
              </w:rPr>
              <w:t>1.0315</w:t>
            </w:r>
          </w:p>
        </w:tc>
      </w:tr>
      <w:tr w:rsidR="00FE5CF5" w14:paraId="0FD65E04"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EA0AD93" w14:textId="77777777" w:rsidR="00FE5CF5" w:rsidRDefault="00F3169B">
            <w:pPr>
              <w:spacing w:after="0" w:line="240" w:lineRule="auto"/>
            </w:pPr>
            <w:r>
              <w:rPr>
                <w:rFonts w:eastAsia="Times New Roman" w:cs="Times New Roman"/>
                <w:sz w:val="16"/>
              </w:rPr>
              <w:t>150</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52FC808" w14:textId="77777777" w:rsidR="00FE5CF5" w:rsidRDefault="00F3169B">
            <w:pPr>
              <w:spacing w:after="0" w:line="240" w:lineRule="auto"/>
              <w:jc w:val="center"/>
            </w:pPr>
            <w:r>
              <w:rPr>
                <w:rFonts w:eastAsia="Times New Roman" w:cs="Times New Roman"/>
                <w:sz w:val="16"/>
              </w:rPr>
              <w:t>1.3</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519967A" w14:textId="77777777" w:rsidR="00FE5CF5" w:rsidRDefault="00F3169B">
            <w:pPr>
              <w:spacing w:after="0" w:line="240" w:lineRule="auto"/>
              <w:jc w:val="center"/>
            </w:pPr>
            <w:r>
              <w:rPr>
                <w:rFonts w:eastAsia="Times New Roman" w:cs="Times New Roman"/>
                <w:sz w:val="16"/>
              </w:rPr>
              <w:t>1.3, 1.5</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1AE894F" w14:textId="77777777" w:rsidR="00FE5CF5" w:rsidRDefault="00F3169B">
            <w:pPr>
              <w:spacing w:after="0" w:line="240" w:lineRule="auto"/>
              <w:jc w:val="center"/>
            </w:pPr>
            <w:r>
              <w:rPr>
                <w:rFonts w:eastAsia="Times New Roman" w:cs="Times New Roman"/>
                <w:sz w:val="16"/>
              </w:rPr>
              <w:t>1.5856</w:t>
            </w:r>
          </w:p>
        </w:tc>
      </w:tr>
      <w:tr w:rsidR="00FE5CF5" w14:paraId="25960D38"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DE1696A" w14:textId="77777777" w:rsidR="00FE5CF5" w:rsidRDefault="00F3169B">
            <w:pPr>
              <w:spacing w:after="0" w:line="240" w:lineRule="auto"/>
            </w:pPr>
            <w:r>
              <w:rPr>
                <w:rFonts w:eastAsia="Times New Roman" w:cs="Times New Roman"/>
                <w:sz w:val="16"/>
              </w:rPr>
              <w:t>200</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B95D68F" w14:textId="77777777" w:rsidR="00FE5CF5" w:rsidRDefault="00F3169B">
            <w:pPr>
              <w:spacing w:after="0" w:line="240" w:lineRule="auto"/>
              <w:jc w:val="center"/>
            </w:pPr>
            <w:r>
              <w:rPr>
                <w:rFonts w:eastAsia="Times New Roman" w:cs="Times New Roman"/>
                <w:sz w:val="16"/>
              </w:rPr>
              <w:t>1.3</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E54F7A0" w14:textId="77777777" w:rsidR="00FE5CF5" w:rsidRDefault="00F3169B">
            <w:pPr>
              <w:spacing w:after="0" w:line="240" w:lineRule="auto"/>
              <w:jc w:val="center"/>
            </w:pPr>
            <w:r>
              <w:rPr>
                <w:rFonts w:eastAsia="Times New Roman" w:cs="Times New Roman"/>
                <w:sz w:val="16"/>
              </w:rPr>
              <w:t>1.3, 0</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CACA080" w14:textId="77777777" w:rsidR="00FE5CF5" w:rsidRDefault="00F3169B">
            <w:pPr>
              <w:spacing w:after="0" w:line="240" w:lineRule="auto"/>
              <w:jc w:val="center"/>
            </w:pPr>
            <w:r>
              <w:rPr>
                <w:rFonts w:eastAsia="Times New Roman" w:cs="Times New Roman"/>
                <w:sz w:val="16"/>
              </w:rPr>
              <w:t>2.6007</w:t>
            </w:r>
          </w:p>
        </w:tc>
      </w:tr>
      <w:tr w:rsidR="00FE5CF5" w14:paraId="1086956B"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885D219" w14:textId="77777777" w:rsidR="00FE5CF5" w:rsidRDefault="00F3169B">
            <w:pPr>
              <w:spacing w:after="0" w:line="240" w:lineRule="auto"/>
            </w:pPr>
            <w:r>
              <w:rPr>
                <w:rFonts w:eastAsia="Times New Roman" w:cs="Times New Roman"/>
                <w:sz w:val="16"/>
              </w:rPr>
              <w:t>250</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0D9B7C4" w14:textId="77777777" w:rsidR="00FE5CF5" w:rsidRDefault="00F3169B">
            <w:pPr>
              <w:spacing w:after="0" w:line="240" w:lineRule="auto"/>
              <w:jc w:val="center"/>
            </w:pPr>
            <w:r>
              <w:rPr>
                <w:rFonts w:eastAsia="Times New Roman" w:cs="Times New Roman"/>
                <w:sz w:val="16"/>
              </w:rPr>
              <w:t>0</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B6B93E7" w14:textId="77777777" w:rsidR="00FE5CF5" w:rsidRDefault="00F3169B">
            <w:pPr>
              <w:spacing w:after="0" w:line="240" w:lineRule="auto"/>
              <w:jc w:val="center"/>
            </w:pPr>
            <w:r>
              <w:rPr>
                <w:rFonts w:eastAsia="Times New Roman" w:cs="Times New Roman"/>
                <w:sz w:val="16"/>
              </w:rPr>
              <w:t>0, 1.3</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915B326" w14:textId="77777777" w:rsidR="00FE5CF5" w:rsidRDefault="00F3169B">
            <w:pPr>
              <w:spacing w:after="0" w:line="240" w:lineRule="auto"/>
              <w:jc w:val="center"/>
            </w:pPr>
            <w:r>
              <w:rPr>
                <w:rFonts w:eastAsia="Times New Roman" w:cs="Times New Roman"/>
                <w:sz w:val="16"/>
              </w:rPr>
              <w:t>3.9135</w:t>
            </w:r>
          </w:p>
        </w:tc>
      </w:tr>
      <w:tr w:rsidR="00FE5CF5" w14:paraId="05908F4D"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61EF0D5" w14:textId="77777777" w:rsidR="00FE5CF5" w:rsidRDefault="00F3169B">
            <w:pPr>
              <w:spacing w:after="0" w:line="240" w:lineRule="auto"/>
            </w:pPr>
            <w:r>
              <w:rPr>
                <w:rFonts w:eastAsia="Times New Roman" w:cs="Times New Roman"/>
                <w:sz w:val="16"/>
              </w:rPr>
              <w:t>300</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C09CF61" w14:textId="77777777" w:rsidR="00FE5CF5" w:rsidRDefault="00F3169B">
            <w:pPr>
              <w:spacing w:after="0" w:line="240" w:lineRule="auto"/>
              <w:jc w:val="center"/>
            </w:pPr>
            <w:r>
              <w:rPr>
                <w:rFonts w:eastAsia="Times New Roman" w:cs="Times New Roman"/>
                <w:sz w:val="16"/>
              </w:rPr>
              <w:t>0</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F659853" w14:textId="77777777" w:rsidR="00FE5CF5" w:rsidRDefault="00F3169B">
            <w:pPr>
              <w:spacing w:after="0" w:line="240" w:lineRule="auto"/>
              <w:jc w:val="center"/>
            </w:pPr>
            <w:r>
              <w:rPr>
                <w:rFonts w:eastAsia="Times New Roman" w:cs="Times New Roman"/>
                <w:sz w:val="16"/>
              </w:rPr>
              <w:t>0</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7918B0E" w14:textId="77777777" w:rsidR="00FE5CF5" w:rsidRDefault="00F3169B">
            <w:pPr>
              <w:spacing w:after="0" w:line="240" w:lineRule="auto"/>
              <w:jc w:val="center"/>
            </w:pPr>
            <w:r>
              <w:rPr>
                <w:rFonts w:eastAsia="Times New Roman" w:cs="Times New Roman"/>
                <w:sz w:val="16"/>
              </w:rPr>
              <w:t>5.4379</w:t>
            </w:r>
          </w:p>
        </w:tc>
      </w:tr>
    </w:tbl>
    <w:p w14:paraId="15D63014" w14:textId="77777777" w:rsidR="00FE5CF5" w:rsidRDefault="00FE5CF5">
      <w:pPr>
        <w:spacing w:after="40"/>
      </w:pPr>
    </w:p>
    <w:p w14:paraId="54FF1E18" w14:textId="77777777" w:rsidR="00FE5CF5" w:rsidRDefault="00F3169B">
      <w:pPr>
        <w:jc w:val="both"/>
      </w:pPr>
      <w:r>
        <w:rPr>
          <w:rFonts w:eastAsia="Times New Roman" w:cs="Times New Roman"/>
        </w:rPr>
        <w:t xml:space="preserve">The best measured candidate changes near 128 mK from 1.5 to 1.3 T and near 215 mK from 1.3 to 0 T when the published temperature curves are linearly </w:t>
      </w:r>
      <w:r>
        <w:rPr>
          <w:rFonts w:eastAsia="Times New Roman" w:cs="Times New Roman"/>
        </w:rPr>
        <w:t>interpolated within each field. At 100 mK and 1.5 T, the magnetic entropy budget is 0.7223 mJ cm−3. A 0.10 microWatt load for 60 min therefore requires 0.498 cm3 of magnetic material under the stated idealized accounting; 0.4 cm3 provides 48.2 min. These v</w:t>
      </w:r>
      <w:r>
        <w:rPr>
          <w:rFonts w:eastAsia="Times New Roman" w:cs="Times New Roman"/>
        </w:rPr>
        <w:t>alues are transparent conditional budgets rather than a device forecast.</w:t>
      </w:r>
    </w:p>
    <w:p w14:paraId="5A326CB6" w14:textId="77777777" w:rsidR="00FE5CF5" w:rsidRDefault="00F3169B">
      <w:pPr>
        <w:jc w:val="both"/>
      </w:pPr>
      <w:r>
        <w:rPr>
          <w:rFonts w:eastAsia="Times New Roman" w:cs="Times New Roman"/>
        </w:rPr>
        <w:t>The second-material check provides an external scale for the thermodynamic reconstruction. Across the 12 public Gd₂B₂MoO₉ comparison points, the heat-capacity-derived adiabatic temper</w:t>
      </w:r>
      <w:r>
        <w:rPr>
          <w:rFonts w:eastAsia="Times New Roman" w:cs="Times New Roman"/>
        </w:rPr>
        <w:t>ature change has a mean absolute error of 13.8 mK, a root-mean-square error of 15.8 mK, and a maximum absolute error of 27.6 mK relative to direct measurement [18]. The correlation is 0.99993 because the test spans both small inverse effects and large posi</w:t>
      </w:r>
      <w:r>
        <w:rPr>
          <w:rFonts w:eastAsia="Times New Roman" w:cs="Times New Roman"/>
        </w:rPr>
        <w:t>tive cooling changes. These author-selected points are not an independent random sample, but they show that the same type of equilibrium thermodynamic processing can recover direct cooling response in a second material. Figure S3 gives the pointwise compar</w:t>
      </w:r>
      <w:r>
        <w:rPr>
          <w:rFonts w:eastAsia="Times New Roman" w:cs="Times New Roman"/>
        </w:rPr>
        <w:t>ison.</w:t>
      </w:r>
    </w:p>
    <w:p w14:paraId="5B8174D5" w14:textId="77777777" w:rsidR="00FE5CF5" w:rsidRDefault="00F3169B">
      <w:pPr>
        <w:pStyle w:val="21"/>
      </w:pPr>
      <w:r>
        <w:rPr>
          <w:rFonts w:ascii="Times New Roman" w:eastAsia="Times New Roman" w:hAnsi="Times New Roman" w:cs="Times New Roman"/>
        </w:rPr>
        <w:t>H. Multimodel size stress defines the first heat measurements</w:t>
      </w:r>
    </w:p>
    <w:p w14:paraId="106BECBE" w14:textId="77777777" w:rsidR="00FE5CF5" w:rsidRDefault="00F3169B">
      <w:pPr>
        <w:jc w:val="both"/>
      </w:pPr>
      <w:r>
        <w:rPr>
          <w:rFonts w:eastAsia="Times New Roman" w:cs="Times New Roman"/>
        </w:rPr>
        <w:t>The N=12-only design is retained as provenance: it gave 9.423% unmeasured regret at 1.366 T and selected 1.296 and 1.420 T on its 42-field grid. The four-model N=18 cover supplies 16 corre</w:t>
      </w:r>
      <w:r>
        <w:rPr>
          <w:rFonts w:eastAsia="Times New Roman" w:cs="Times New Roman"/>
        </w:rPr>
        <w:t>lated stresses from four M4 models, two experimental anchors, and two mappings. Together with the 52 N=12 scenarios, this gives 68 adversarial scenarios, 34.551% unmeasured regret at 1.4890 T, and peak support of 1.2943–1.7136 T.</w:t>
      </w:r>
    </w:p>
    <w:p w14:paraId="1765F4F1" w14:textId="77777777" w:rsidR="00FE5CF5" w:rsidRDefault="00F3169B">
      <w:pPr>
        <w:jc w:val="both"/>
      </w:pPr>
      <w:r>
        <w:rPr>
          <w:rFonts w:eastAsia="Times New Roman" w:cs="Times New Roman"/>
        </w:rPr>
        <w:t xml:space="preserve">The first experiment must </w:t>
      </w:r>
      <w:r>
        <w:rPr>
          <w:rFonts w:eastAsia="Times New Roman" w:cs="Times New Roman"/>
        </w:rPr>
        <w:t>cover 1.292–1.716 T at 0.004 T spacing (107 points). At a declared ±2.5% per-reading heat bound, exhaustive enumeration of all 5,671 two-point panels selects 1.292 and 1.716 T. The panel leaves 4.246% worst regret and crosses the predeclared 5% gate. The f</w:t>
      </w:r>
      <w:r>
        <w:rPr>
          <w:rFonts w:eastAsia="Times New Roman" w:cs="Times New Roman"/>
        </w:rPr>
        <w:t>ormer 1.296/1.420 T pair leaves 4.327% and remains below 5%. The full 107-point sweep leaves 1.820%.</w:t>
      </w:r>
    </w:p>
    <w:p w14:paraId="3D7272B4" w14:textId="77777777" w:rsidR="00FE5CF5" w:rsidRDefault="00F3169B">
      <w:pPr>
        <w:jc w:val="both"/>
      </w:pPr>
      <w:r>
        <w:rPr>
          <w:rFonts w:eastAsia="Times New Roman" w:cs="Times New Roman"/>
        </w:rPr>
        <w:t>The two-point panel is the minimum first-stage discrimination experiment if ±2.5% heat accuracy is available. The full field sweep localizes peaks and test</w:t>
      </w:r>
      <w:r>
        <w:rPr>
          <w:rFonts w:eastAsia="Times New Roman" w:cs="Times New Roman"/>
        </w:rPr>
        <w:t>s the scenario set itself. A measured curve outside the 68-scenario envelope requires a model update. These are deterministic set-membership bounds, not confidence intervals.</w:t>
      </w:r>
    </w:p>
    <w:p w14:paraId="6AA74339" w14:textId="77777777" w:rsidR="00FE5CF5" w:rsidRDefault="00F3169B">
      <w:pPr>
        <w:keepNext/>
        <w:spacing w:before="80" w:after="40"/>
        <w:jc w:val="center"/>
      </w:pPr>
      <w:r>
        <w:rPr>
          <w:noProof/>
        </w:rPr>
        <w:drawing>
          <wp:inline distT="0" distB="0" distL="0" distR="0" wp14:anchorId="34CA02F3" wp14:editId="44DFEE15">
            <wp:extent cx="6172200" cy="2424792"/>
            <wp:effectExtent l="0" t="0" r="0" b="0"/>
            <wp:docPr id="10" name="Picture 10" descr="Four-model N=18 size stress and revised measurement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8_multimodel_design_stress.png"/>
                    <pic:cNvPicPr/>
                  </pic:nvPicPr>
                  <pic:blipFill>
                    <a:blip r:embed="rId17"/>
                    <a:stretch>
                      <a:fillRect/>
                    </a:stretch>
                  </pic:blipFill>
                  <pic:spPr>
                    <a:xfrm>
                      <a:off x="0" y="0"/>
                      <a:ext cx="6172200" cy="2424792"/>
                    </a:xfrm>
                    <a:prstGeom prst="rect">
                      <a:avLst/>
                    </a:prstGeom>
                  </pic:spPr>
                </pic:pic>
              </a:graphicData>
            </a:graphic>
          </wp:inline>
        </w:drawing>
      </w:r>
    </w:p>
    <w:p w14:paraId="2DCAC7C3" w14:textId="77777777" w:rsidR="00FE5CF5" w:rsidRDefault="00F3169B">
      <w:pPr>
        <w:pStyle w:val="af0"/>
      </w:pPr>
      <w:r>
        <w:rPr>
          <w:rFonts w:eastAsia="Times New Roman" w:cs="Times New Roman"/>
        </w:rPr>
        <w:t>Figure 10.</w:t>
      </w:r>
      <w:r>
        <w:rPr>
          <w:rFonts w:eastAsia="Times New Roman" w:cs="Times New Roman"/>
          <w:b w:val="0"/>
        </w:rPr>
        <w:t xml:space="preserve"> (a) N=12 scenario envelope and 16 correlated stresses derived from f</w:t>
      </w:r>
      <w:r>
        <w:rPr>
          <w:rFonts w:eastAsia="Times New Roman" w:cs="Times New Roman"/>
          <w:b w:val="0"/>
        </w:rPr>
        <w:t>our preregistered N=18 M4 templates, with the baseline and augmented minimax fields. (b) The best 120 results from the exhaustive 5,671-panel search; the star marks 1.292/1.716 T. The N=18 curves are adversarial finite-cluster stresses, not bulk prediction</w:t>
      </w:r>
      <w:r>
        <w:rPr>
          <w:rFonts w:eastAsia="Times New Roman" w:cs="Times New Roman"/>
          <w:b w:val="0"/>
        </w:rPr>
        <w:t>s.</w:t>
      </w:r>
    </w:p>
    <w:p w14:paraId="575E4673" w14:textId="77777777" w:rsidR="00FE5CF5" w:rsidRDefault="00F3169B">
      <w:pPr>
        <w:pStyle w:val="21"/>
      </w:pPr>
      <w:r>
        <w:rPr>
          <w:rFonts w:ascii="Times New Roman" w:eastAsia="Times New Roman" w:hAnsi="Times New Roman" w:cs="Times New Roman"/>
        </w:rPr>
        <w:t>I. The complete six-qubit hardware benchmark resolves sign but not magnitude</w:t>
      </w:r>
    </w:p>
    <w:p w14:paraId="56C195F9" w14:textId="4C28DC2A" w:rsidR="00FE5CF5" w:rsidRDefault="00F3169B">
      <w:pPr>
        <w:jc w:val="both"/>
      </w:pPr>
      <w:r>
        <w:rPr>
          <w:rFonts w:eastAsia="Times New Roman" w:cs="Times New Roman"/>
        </w:rPr>
        <w:t xml:space="preserve">The exact full-spectrum M2–M0 entropy correction for the open six-spin patch is −0.041611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at 100 mK. The adaptive prepared circuits give −0.041707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confirming that local representation error is below the declared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per-spin target before hardware noise.</w:t>
      </w:r>
    </w:p>
    <w:p w14:paraId="5BA35662" w14:textId="2F2E30D2" w:rsidR="00FE5CF5" w:rsidRDefault="00F3169B">
      <w:pPr>
        <w:jc w:val="both"/>
      </w:pPr>
      <w:r>
        <w:rPr>
          <w:rFonts w:eastAsia="Times New Roman" w:cs="Times New Roman"/>
        </w:rPr>
        <w:t xml:space="preserve">The complete twirled-TREX job on IBM Kingston gives −0.021679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with a reported-error 95% interval of [−0.024627, −0.018727]. Adding zero-noise extrapolation moves the result toward the exact value, to </w:t>
      </w:r>
      <w:r>
        <w:rPr>
          <w:rFonts w:eastAsia="Times New Roman" w:cs="Times New Roman"/>
        </w:rPr>
        <w:t xml:space="preserve">−0.026822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with interval [−0.040300, −0.013193]. Both intervals exclude zero and both central values recover the exact negative sign. Zero-noise extrapolation reduces absolute bias from 0.019932 to 0.014789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or 25.8%, while inc</w:t>
      </w:r>
      <w:r>
        <w:rPr>
          <w:rFonts w:eastAsia="Times New Roman" w:cs="Times New Roman"/>
        </w:rPr>
        <w:t xml:space="preserve">reasing the propagated standard deviation by a factor of 4.60. The exact value remains outside both reported-error intervals. The hardware therefore passes the sign-resolution gate and fails the quantitative-magnitude gate. The paired jobs used 38 and 113 </w:t>
      </w:r>
      <w:r>
        <w:rPr>
          <w:rFonts w:eastAsia="Times New Roman" w:cs="Times New Roman"/>
        </w:rPr>
        <w:t xml:space="preserve">s of free QPU time; their identifiers are </w:t>
      </w:r>
      <w:r>
        <w:rPr>
          <w:rFonts w:ascii="Consolas" w:eastAsia="Consolas" w:hAnsi="Consolas" w:cs="Consolas"/>
          <w:sz w:val="19"/>
        </w:rPr>
        <w:t>db6et9clf4us73c582f0</w:t>
      </w:r>
      <w:r>
        <w:rPr>
          <w:rFonts w:eastAsia="Times New Roman" w:cs="Times New Roman"/>
        </w:rPr>
        <w:t xml:space="preserve"> and </w:t>
      </w:r>
      <w:r>
        <w:rPr>
          <w:rFonts w:ascii="Consolas" w:eastAsia="Consolas" w:hAnsi="Consolas" w:cs="Consolas"/>
          <w:sz w:val="19"/>
        </w:rPr>
        <w:t>db6eurqmb58s738bmisg</w:t>
      </w:r>
      <w:r>
        <w:rPr>
          <w:rFonts w:eastAsia="Times New Roman" w:cs="Times New Roman"/>
        </w:rPr>
        <w:t>.</w:t>
      </w:r>
    </w:p>
    <w:p w14:paraId="2435E125" w14:textId="77777777" w:rsidR="00FE5CF5" w:rsidRDefault="00F3169B">
      <w:pPr>
        <w:keepNext/>
        <w:spacing w:before="80" w:after="40"/>
        <w:jc w:val="center"/>
      </w:pPr>
      <w:r>
        <w:rPr>
          <w:noProof/>
        </w:rPr>
        <w:drawing>
          <wp:inline distT="0" distB="0" distL="0" distR="0" wp14:anchorId="5DBD723F" wp14:editId="47D4B3D4">
            <wp:extent cx="6172200" cy="1902694"/>
            <wp:effectExtent l="0" t="0" r="0" b="0"/>
            <wp:docPr id="11" name="Picture 11" descr="Complete adaptive N=6 QPU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ive_n6_qpu_complete.png"/>
                    <pic:cNvPicPr/>
                  </pic:nvPicPr>
                  <pic:blipFill>
                    <a:blip r:embed="rId18"/>
                    <a:stretch>
                      <a:fillRect/>
                    </a:stretch>
                  </pic:blipFill>
                  <pic:spPr>
                    <a:xfrm>
                      <a:off x="0" y="0"/>
                      <a:ext cx="6172200" cy="1902694"/>
                    </a:xfrm>
                    <a:prstGeom prst="rect">
                      <a:avLst/>
                    </a:prstGeom>
                  </pic:spPr>
                </pic:pic>
              </a:graphicData>
            </a:graphic>
          </wp:inline>
        </w:drawing>
      </w:r>
    </w:p>
    <w:p w14:paraId="420AFF5D" w14:textId="77777777" w:rsidR="00FE5CF5" w:rsidRDefault="00F3169B">
      <w:pPr>
        <w:pStyle w:val="af0"/>
      </w:pPr>
      <w:r>
        <w:rPr>
          <w:rFonts w:eastAsia="Times New Roman" w:cs="Times New Roman"/>
        </w:rPr>
        <w:t>Figure 11.</w:t>
      </w:r>
      <w:r>
        <w:rPr>
          <w:rFonts w:eastAsia="Times New Roman" w:cs="Times New Roman"/>
          <w:b w:val="0"/>
        </w:rPr>
        <w:t xml:space="preserve"> (a) Nine IBM Kingston expectation values against exact values. (b) The three spectral-flow nodes and three low levels; pointwise error bars show two Estim</w:t>
      </w:r>
      <w:r>
        <w:rPr>
          <w:rFonts w:eastAsia="Times New Roman" w:cs="Times New Roman"/>
          <w:b w:val="0"/>
        </w:rPr>
        <w:t>ator-reported standard errors. (c) Exact, locally prepared, twirled-TREX, and twirled-TREX-plus-ZNE entropy corrections; hardware bars show propagated 95% reported-error intervals. Shared calibration and residual device bias are not contained in those inte</w:t>
      </w:r>
      <w:r>
        <w:rPr>
          <w:rFonts w:eastAsia="Times New Roman" w:cs="Times New Roman"/>
          <w:b w:val="0"/>
        </w:rPr>
        <w:t>rvals, so accuracy is judged against the exact six-spin benchmark.</w:t>
      </w:r>
    </w:p>
    <w:p w14:paraId="3AF37218" w14:textId="77777777" w:rsidR="00FE5CF5" w:rsidRDefault="00F3169B">
      <w:pPr>
        <w:pStyle w:val="1"/>
      </w:pPr>
      <w:r>
        <w:rPr>
          <w:rFonts w:ascii="Times New Roman" w:eastAsia="Times New Roman" w:hAnsi="Times New Roman" w:cs="Times New Roman"/>
        </w:rPr>
        <w:t>V. Discussion</w:t>
      </w:r>
    </w:p>
    <w:p w14:paraId="286CDE5C" w14:textId="77777777" w:rsidR="00FE5CF5" w:rsidRDefault="00F3169B">
      <w:pPr>
        <w:pStyle w:val="21"/>
      </w:pPr>
      <w:r>
        <w:rPr>
          <w:rFonts w:ascii="Times New Roman" w:eastAsia="Times New Roman" w:hAnsi="Times New Roman" w:cs="Times New Roman"/>
        </w:rPr>
        <w:t>A. What is established for magnetic-refrigerator design</w:t>
      </w:r>
    </w:p>
    <w:p w14:paraId="739B2884" w14:textId="77777777" w:rsidR="00FE5CF5" w:rsidRDefault="00F3169B">
      <w:pPr>
        <w:jc w:val="both"/>
      </w:pPr>
      <w:r>
        <w:rPr>
          <w:rFonts w:eastAsia="Times New Roman" w:cs="Times New Roman"/>
        </w:rPr>
        <w:t>Four conclusions are robust within the declared evidence and hardware tests.</w:t>
      </w:r>
    </w:p>
    <w:p w14:paraId="226E3987" w14:textId="77777777" w:rsidR="00FE5CF5" w:rsidRDefault="00F3169B">
      <w:pPr>
        <w:jc w:val="both"/>
      </w:pPr>
      <w:r>
        <w:rPr>
          <w:rFonts w:eastAsia="Times New Roman" w:cs="Times New Roman"/>
        </w:rPr>
        <w:t xml:space="preserve">First, a local interaction ranking is not </w:t>
      </w:r>
      <w:r>
        <w:rPr>
          <w:rFonts w:eastAsia="Times New Roman" w:cs="Times New Roman"/>
        </w:rPr>
        <w:t>a safe engineering surrogate. The nearest-neighbor dipolar model suggests a large upward shift, while the full Ewald sum shows that the rest of the lattice can cancel it. Long-range electrostatic or magnetic interactions must be summed with an explicit bou</w:t>
      </w:r>
      <w:r>
        <w:rPr>
          <w:rFonts w:eastAsia="Times New Roman" w:cs="Times New Roman"/>
        </w:rPr>
        <w:t>ndary convention before weak terms are ranked.</w:t>
      </w:r>
    </w:p>
    <w:p w14:paraId="79A1C755" w14:textId="77777777" w:rsidR="00FE5CF5" w:rsidRDefault="00F3169B">
      <w:pPr>
        <w:jc w:val="both"/>
      </w:pPr>
      <w:r>
        <w:rPr>
          <w:rFonts w:eastAsia="Times New Roman" w:cs="Times New Roman"/>
        </w:rPr>
        <w:t>Second, public propagation-vector data constrain the interlayer Hamiltonian strongly but do not guarantee that it changes the refrigerator decision. The local grid and expanded Sobol design retain only 16 mode</w:t>
      </w:r>
      <w:r>
        <w:rPr>
          <w:rFonts w:eastAsia="Times New Roman" w:cs="Times New Roman"/>
        </w:rPr>
        <w:t>ls, but adaptive boundary and extremum searches find 53 additional admissible models. The resulting 0.0334–0.2021 T shift range is wider than either initial design, and only 224 of 276 central cases cross both gates. The correct claim is therefore conditio</w:t>
      </w:r>
      <w:r>
        <w:rPr>
          <w:rFonts w:eastAsia="Times New Roman" w:cs="Times New Roman"/>
        </w:rPr>
        <w:t>nal: the present wavevector data identify a set-valued decision range, not one Hamiltonian or a guaranteed threshold-crossing correction.</w:t>
      </w:r>
    </w:p>
    <w:p w14:paraId="4E68F92C" w14:textId="397B7BD6" w:rsidR="00FE5CF5" w:rsidRDefault="00F3169B">
      <w:pPr>
        <w:jc w:val="both"/>
      </w:pPr>
      <w:r>
        <w:rPr>
          <w:rFonts w:eastAsia="Times New Roman" w:cs="Times New Roman"/>
        </w:rPr>
        <w:t xml:space="preserve">The lower-field fan curve supplies a second, unused observable and reveals a physically important tension. Across the 69 retained models, four-point holdout error and critical-field shift have a Spearman association of 0.940: models predicting the largest </w:t>
      </w:r>
      <w:r>
        <w:rPr>
          <w:rFonts w:eastAsia="Times New Roman" w:cs="Times New Roman"/>
        </w:rPr>
        <w:t>refrigerator correction reproduce the measured field evolution least well. The 23 models no worse than the published representative set reduce the upper shift to 0.1073 T, but the representative model itself misses the rapid experimental evolution. We ther</w:t>
      </w:r>
      <w:r>
        <w:rPr>
          <w:rFonts w:eastAsia="Times New Roman" w:cs="Times New Roman"/>
        </w:rPr>
        <w:t xml:space="preserve">efore treat this subset as a descriptive ranking rather than a calibrated confidence set. The result strengthens the need for a joint fit to raw </w:t>
      </w:r>
      <m:oMath>
        <m:r>
          <m:rPr>
            <m:sty m:val="p"/>
          </m:rPr>
          <w:rPr>
            <w:rFonts w:ascii="Cambria Math" w:hAnsi="Cambria Math"/>
          </w:rPr>
          <m:t>δ</m:t>
        </m:r>
        <m:d>
          <m:dPr>
            <m:ctrlPr>
              <w:rPr>
                <w:rFonts w:ascii="Cambria Math" w:hAnsi="Cambria Math"/>
              </w:rPr>
            </m:ctrlPr>
          </m:dPr>
          <m:e>
            <m:r>
              <m:rPr>
                <m:sty m:val="p"/>
              </m:rPr>
              <w:rPr>
                <w:rFonts w:ascii="Cambria Math" w:hAnsi="Cambria Math"/>
              </w:rPr>
              <m:t>H</m:t>
            </m:r>
          </m:e>
        </m:d>
      </m:oMath>
      <w:r>
        <w:rPr>
          <w:rFonts w:eastAsia="Times New Roman" w:cs="Times New Roman"/>
        </w:rPr>
        <w:t xml:space="preserve">, </w:t>
      </w:r>
      <m:oMath>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z</m:t>
                </m:r>
              </m:e>
            </m:d>
            <m:d>
              <m:dPr>
                <m:ctrlPr>
                  <w:rPr>
                    <w:rFonts w:ascii="Cambria Math" w:hAnsi="Cambria Math"/>
                  </w:rPr>
                </m:ctrlPr>
              </m:dPr>
              <m:e>
                <m:r>
                  <m:rPr>
                    <m:sty m:val="p"/>
                  </m:rPr>
                  <w:rPr>
                    <w:rFonts w:ascii="Cambria Math" w:hAnsi="Cambria Math"/>
                  </w:rPr>
                  <m:t>H</m:t>
                </m:r>
              </m:e>
            </m:d>
          </m:sub>
        </m:sSub>
      </m:oMath>
      <w:r>
        <w:rPr>
          <w:rFonts w:eastAsia="Times New Roman" w:cs="Times New Roman"/>
        </w:rPr>
        <w:t>, and phase boundaries before narrowing the engineering envelope.</w:t>
      </w:r>
    </w:p>
    <w:p w14:paraId="2C2BD90A" w14:textId="130EAC34" w:rsidR="00FE5CF5" w:rsidRDefault="00F3169B">
      <w:pPr>
        <w:jc w:val="both"/>
      </w:pPr>
      <w:r>
        <w:rPr>
          <w:rFonts w:eastAsia="Times New Roman" w:cs="Times New Roman"/>
        </w:rPr>
        <w:t>The transverse-field INS archiv</w:t>
      </w:r>
      <w:r>
        <w:rPr>
          <w:rFonts w:eastAsia="Times New Roman" w:cs="Times New Roman"/>
        </w:rPr>
        <w:t>e adds an orthogonal energy-scale test that was not used in either diffraction retention or the fan ranking. Thirty of 69 models remain at or below the source's 18.048 microelectronvolt upper-reference bandwidth, and this membership is unchanged over all m</w:t>
      </w:r>
      <w:r>
        <w:rPr>
          <w:rFonts w:eastAsia="Times New Roman" w:cs="Times New Roman"/>
        </w:rPr>
        <w:t xml:space="preserve">atched one-standard-deviation corners of the dominant exchange and </w:t>
      </w:r>
      <m:oMath>
        <m:r>
          <m:rPr>
            <m:sty m:val="p"/>
          </m:rPr>
          <w:rPr>
            <w:rFonts w:ascii="Cambria Math" w:hAnsi="Cambria Math"/>
          </w:rPr>
          <m:t>g</m:t>
        </m:r>
      </m:oMath>
      <w:r>
        <w:rPr>
          <w:rFonts w:eastAsia="Times New Roman" w:cs="Times New Roman"/>
        </w:rPr>
        <w:t>-factor fit. The upper shift of this sensitivity envelope falls by 27% from 0.2021 to 0.1476 T, and 68 of its 120 rigid-profile central cases cross both gates. That apparent contraction do</w:t>
      </w:r>
      <w:r>
        <w:rPr>
          <w:rFonts w:eastAsia="Times New Roman" w:cs="Times New Roman"/>
        </w:rPr>
        <w:t xml:space="preserve">es not survive a direct comparison with the public linewidths: after the unresolved twin mixture is profiled, all 69 M4 models have </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oMath>
      <w:r>
        <w:rPr>
          <w:rFonts w:eastAsia="Times New Roman" w:cs="Times New Roman"/>
        </w:rPr>
        <w:t xml:space="preserve"> no larger than the source reference curve. The INS result therefore exposes a consequential non-identifiability rath</w:t>
      </w:r>
      <w:r>
        <w:rPr>
          <w:rFonts w:eastAsia="Times New Roman" w:cs="Times New Roman"/>
        </w:rPr>
        <w:t>er than supporting a 39-model rejection. Peak-to-peak bandwidth is strongly associated with engineering shift, but the actually resolved one-peak linewidth cannot separate those models without independent twin fractions, a full resolution kernel, and reduc</w:t>
      </w:r>
      <w:r>
        <w:rPr>
          <w:rFonts w:eastAsia="Times New Roman" w:cs="Times New Roman"/>
        </w:rPr>
        <w:t>ed counts.</w:t>
      </w:r>
    </w:p>
    <w:p w14:paraId="2932161F" w14:textId="77777777" w:rsidR="00FE5CF5" w:rsidRDefault="00F3169B">
      <w:pPr>
        <w:jc w:val="both"/>
      </w:pPr>
      <w:r>
        <w:rPr>
          <w:rFonts w:eastAsia="Times New Roman" w:cs="Times New Roman"/>
        </w:rPr>
        <w:t>Third, finite-size transfer fails at the scale relevant to the engineering decision across a preregistered model family. The N=18 optimum shifts span 0.293–0.425 T, compared with 0.000–0.100 T for the same four M4 anchors at N=12; peak-heat rati</w:t>
      </w:r>
      <w:r>
        <w:rPr>
          <w:rFonts w:eastAsia="Times New Roman" w:cs="Times New Roman"/>
        </w:rPr>
        <w:t>os span 0.537–0.852, compared with 0.919–1.013. 4 of the four M4 models (M4-00, M4-02, M4-03, M4-01) cross the declared major-transfer threshold. The N=18 shift is monotone in the preregistered bulk-shift order (Spearman rho=1.000). The close-peak rule fin</w:t>
      </w:r>
      <w:r>
        <w:rPr>
          <w:rFonts w:eastAsia="Times New Roman" w:cs="Times New Roman"/>
        </w:rPr>
        <w:t>ds multiple candidates for M3 (2), M4-00 (2), M4-02 (2), M4-03 (2), M4-01 (2), and L32 reselects the branch for none. Local cutoff checks meet the declared tolerance at the selected centers. This is positive evidence against universal transfer, while one N</w:t>
      </w:r>
      <w:r>
        <w:rPr>
          <w:rFonts w:eastAsia="Times New Roman" w:cs="Times New Roman"/>
        </w:rPr>
        <w:t>=18 cluster remains short of a bulk prediction.</w:t>
      </w:r>
    </w:p>
    <w:p w14:paraId="018773AA" w14:textId="77777777" w:rsidR="00FE5CF5" w:rsidRDefault="00F3169B">
      <w:pPr>
        <w:jc w:val="both"/>
      </w:pPr>
      <w:r>
        <w:rPr>
          <w:rFonts w:eastAsia="Times New Roman" w:cs="Times New Roman"/>
        </w:rPr>
        <w:t xml:space="preserve">The multimodel value-of-information calculation turns that failure into a revised experiment. The 68-scenario peak support is 1.2943–1.7136 T, and the unmeasured minimax decision has 34.551% worst regret. At </w:t>
      </w:r>
      <w:r>
        <w:rPr>
          <w:rFonts w:eastAsia="Times New Roman" w:cs="Times New Roman"/>
        </w:rPr>
        <w:t>a ±2.5% heat bound, exhaustive enumeration of 5,671 pairs selects 1.292 and 1.716 T and leaves 4.246% regret. The full 107-point, 1.292–1.716 T sweep remains the model-falsification stage. Measurement precision and finite-size transfer are therefore couple</w:t>
      </w:r>
      <w:r>
        <w:rPr>
          <w:rFonts w:eastAsia="Times New Roman" w:cs="Times New Roman"/>
        </w:rPr>
        <w:t>d design variables.</w:t>
      </w:r>
    </w:p>
    <w:p w14:paraId="446CF06A" w14:textId="77777777" w:rsidR="00FE5CF5" w:rsidRDefault="00F3169B">
      <w:pPr>
        <w:jc w:val="both"/>
      </w:pPr>
      <w:r>
        <w:rPr>
          <w:rFonts w:eastAsia="Times New Roman" w:cs="Times New Roman"/>
        </w:rPr>
        <w:t>Fourth, the quantum-hardware result has a decision-scale interpretation rather than a generic execution claim. All nine low-energy expectation values are measured and propagated to the final entropy correction. Present hardware resolves</w:t>
      </w:r>
      <w:r>
        <w:rPr>
          <w:rFonts w:eastAsia="Times New Roman" w:cs="Times New Roman"/>
        </w:rPr>
        <w:t xml:space="preserve"> the sign, which distinguishes a correction from zero, but its residual bias is about twenty times the local state-preparation entropy error and prevents quantitative use in the refrigerator field or inventory calculation. The paired mitigation result iden</w:t>
      </w:r>
      <w:r>
        <w:rPr>
          <w:rFonts w:eastAsia="Times New Roman" w:cs="Times New Roman"/>
        </w:rPr>
        <w:t>tifies circuit and device error, rather than sampling alone, as the next quantum-computing bottleneck.</w:t>
      </w:r>
    </w:p>
    <w:p w14:paraId="224FDA11" w14:textId="50A9AE93" w:rsidR="00FE5CF5" w:rsidRDefault="00F3169B">
      <w:pPr>
        <w:jc w:val="both"/>
      </w:pPr>
      <w:r>
        <w:rPr>
          <w:rFonts w:eastAsia="Times New Roman" w:cs="Times New Roman"/>
        </w:rPr>
        <w:t xml:space="preserve">The demagnetization audit adds a second field scale of comparable magnitude. A public plate geometry gives a conservative 0.136 T correction, and even a </w:t>
      </w:r>
      <w:r>
        <w:rPr>
          <w:rFonts w:eastAsia="Times New Roman" w:cs="Times New Roman"/>
        </w:rPr>
        <w:t xml:space="preserve">sphere exceeds 0.05 T. An elongated package with </w:t>
      </w:r>
      <m:oMath>
        <m:f>
          <m:fPr>
            <m:ctrlPr>
              <w:rPr>
                <w:rFonts w:ascii="Cambria Math" w:hAnsi="Cambria Math"/>
              </w:rPr>
            </m:ctrlPr>
          </m:fPr>
          <m:num>
            <m:r>
              <m:rPr>
                <m:sty m:val="p"/>
              </m:rPr>
              <w:rPr>
                <w:rFonts w:ascii="Cambria Math" w:hAnsi="Cambria Math"/>
              </w:rPr>
              <m:t>c</m:t>
            </m:r>
          </m:num>
          <m:den>
            <m:r>
              <m:rPr>
                <m:sty m:val="p"/>
              </m:rPr>
              <w:rPr>
                <w:rFonts w:ascii="Cambria Math" w:hAnsi="Cambria Math"/>
              </w:rPr>
              <m:t>a</m:t>
            </m:r>
          </m:den>
        </m:f>
        <m:r>
          <m:rPr>
            <m:sty m:val="p"/>
          </m:rPr>
          <w:rPr>
            <w:rFonts w:ascii="Cambria Math" w:hAnsi="Cambria Math"/>
          </w:rPr>
          <m:t>≥2.72</m:t>
        </m:r>
      </m:oMath>
      <w:r>
        <w:rPr>
          <w:rFonts w:eastAsia="Times New Roman" w:cs="Times New Roman"/>
        </w:rPr>
        <w:t xml:space="preserve"> bounds the saturation correction below 0.02 T. A field specification without sample orientation and aspect ratio is therefore incomplete.</w:t>
      </w:r>
    </w:p>
    <w:p w14:paraId="6C6D8F05" w14:textId="77777777" w:rsidR="00FE5CF5" w:rsidRDefault="00F3169B">
      <w:pPr>
        <w:pStyle w:val="af0"/>
      </w:pPr>
      <w:r>
        <w:rPr>
          <w:rFonts w:eastAsia="Times New Roman" w:cs="Times New Roman"/>
        </w:rPr>
        <w:t>Table V. Engineering use envelope.</w:t>
      </w:r>
      <w:r>
        <w:rPr>
          <w:rFonts w:eastAsia="Times New Roman" w:cs="Times New Roman"/>
          <w:b w:val="0"/>
        </w:rPr>
        <w:t xml:space="preserve"> Each output is paired with the decision it can support and the evidence still required for a stronger claim.</w:t>
      </w:r>
    </w:p>
    <w:tbl>
      <w:tblPr>
        <w:tblW w:w="0" w:type="auto"/>
        <w:jc w:val="center"/>
        <w:tblLook w:val="04A0" w:firstRow="1" w:lastRow="0" w:firstColumn="1" w:lastColumn="0" w:noHBand="0" w:noVBand="1"/>
      </w:tblPr>
      <w:tblGrid>
        <w:gridCol w:w="2469"/>
        <w:gridCol w:w="2469"/>
        <w:gridCol w:w="2469"/>
        <w:gridCol w:w="2469"/>
      </w:tblGrid>
      <w:tr w:rsidR="00FE5CF5" w14:paraId="27D5E458" w14:textId="77777777">
        <w:trPr>
          <w:tblHeade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214B2A5" w14:textId="77777777" w:rsidR="00FE5CF5" w:rsidRDefault="00F3169B">
            <w:pPr>
              <w:spacing w:after="0" w:line="240" w:lineRule="auto"/>
            </w:pPr>
            <w:r>
              <w:rPr>
                <w:rFonts w:eastAsia="Times New Roman" w:cs="Times New Roman"/>
                <w:b/>
                <w:color w:val="FFFFFF"/>
                <w:sz w:val="16"/>
              </w:rPr>
              <w:t>Question</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2F163949" w14:textId="77777777" w:rsidR="00FE5CF5" w:rsidRDefault="00F3169B">
            <w:pPr>
              <w:spacing w:after="0" w:line="240" w:lineRule="auto"/>
              <w:jc w:val="center"/>
            </w:pPr>
            <w:r>
              <w:rPr>
                <w:rFonts w:eastAsia="Times New Roman" w:cs="Times New Roman"/>
                <w:b/>
                <w:color w:val="FFFFFF"/>
                <w:sz w:val="16"/>
              </w:rPr>
              <w:t>Current evidence</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02A07B17" w14:textId="77777777" w:rsidR="00FE5CF5" w:rsidRDefault="00F3169B">
            <w:pPr>
              <w:spacing w:after="0" w:line="240" w:lineRule="auto"/>
              <w:jc w:val="center"/>
            </w:pPr>
            <w:r>
              <w:rPr>
                <w:rFonts w:eastAsia="Times New Roman" w:cs="Times New Roman"/>
                <w:b/>
                <w:color w:val="FFFFFF"/>
                <w:sz w:val="16"/>
              </w:rPr>
              <w:t>Usable output</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619EE577" w14:textId="77777777" w:rsidR="00FE5CF5" w:rsidRDefault="00F3169B">
            <w:pPr>
              <w:spacing w:after="0" w:line="240" w:lineRule="auto"/>
              <w:jc w:val="center"/>
            </w:pPr>
            <w:r>
              <w:rPr>
                <w:rFonts w:eastAsia="Times New Roman" w:cs="Times New Roman"/>
                <w:b/>
                <w:color w:val="FFFFFF"/>
                <w:sz w:val="16"/>
              </w:rPr>
              <w:t>Boundary or next action</w:t>
            </w:r>
          </w:p>
        </w:tc>
      </w:tr>
      <w:tr w:rsidR="00FE5CF5" w14:paraId="3ECCC99E"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3A5D3D7" w14:textId="77777777" w:rsidR="00FE5CF5" w:rsidRDefault="00F3169B">
            <w:pPr>
              <w:spacing w:after="0" w:line="240" w:lineRule="auto"/>
            </w:pPr>
            <w:r>
              <w:rPr>
                <w:rFonts w:eastAsia="Times New Roman" w:cs="Times New Roman"/>
                <w:sz w:val="16"/>
              </w:rPr>
              <w:t>Is NBCP worth refrigerator development?</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BBCD113" w14:textId="77777777" w:rsidR="00FE5CF5" w:rsidRDefault="00F3169B">
            <w:pPr>
              <w:spacing w:after="0" w:line="240" w:lineRule="auto"/>
              <w:jc w:val="center"/>
            </w:pPr>
            <w:r>
              <w:rPr>
                <w:rFonts w:eastAsia="Times New Roman" w:cs="Times New Roman"/>
                <w:sz w:val="16"/>
              </w:rPr>
              <w:t>public same-volume cooling and time trace</w:t>
            </w:r>
            <w:r>
              <w:rPr>
                <w:rFonts w:eastAsia="Times New Roman" w:cs="Times New Roman"/>
                <w:sz w:val="16"/>
              </w:rPr>
              <w:t>s [1]</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5AD83F2" w14:textId="77777777" w:rsidR="00FE5CF5" w:rsidRDefault="00F3169B">
            <w:pPr>
              <w:spacing w:after="0" w:line="240" w:lineRule="auto"/>
              <w:jc w:val="center"/>
            </w:pPr>
            <w:r>
              <w:rPr>
                <w:rFonts w:eastAsia="Times New Roman" w:cs="Times New Roman"/>
                <w:sz w:val="16"/>
              </w:rPr>
              <w:t>yes; material-level screening is established</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CAB9DAC" w14:textId="77777777" w:rsidR="00FE5CF5" w:rsidRDefault="00F3169B">
            <w:pPr>
              <w:spacing w:after="0" w:line="240" w:lineRule="auto"/>
              <w:jc w:val="center"/>
            </w:pPr>
            <w:r>
              <w:rPr>
                <w:rFonts w:eastAsia="Times New Roman" w:cs="Times New Roman"/>
                <w:sz w:val="16"/>
              </w:rPr>
              <w:t>no new material-ranking claim is needed</w:t>
            </w:r>
          </w:p>
        </w:tc>
      </w:tr>
      <w:tr w:rsidR="00FE5CF5" w14:paraId="5AC24FAB"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15F8F16" w14:textId="77777777" w:rsidR="00FE5CF5" w:rsidRDefault="00F3169B">
            <w:pPr>
              <w:spacing w:after="0" w:line="240" w:lineRule="auto"/>
            </w:pPr>
            <w:r>
              <w:rPr>
                <w:rFonts w:eastAsia="Times New Roman" w:cs="Times New Roman"/>
                <w:sz w:val="16"/>
              </w:rPr>
              <w:t>Which 90 mK field is robust to the declared uncertainty?</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A010CEB" w14:textId="77777777" w:rsidR="00FE5CF5" w:rsidRDefault="00F3169B">
            <w:pPr>
              <w:spacing w:after="0" w:line="240" w:lineRule="auto"/>
              <w:jc w:val="center"/>
            </w:pPr>
            <w:r>
              <w:rPr>
                <w:rFonts w:eastAsia="Times New Roman" w:cs="Times New Roman"/>
                <w:sz w:val="16"/>
              </w:rPr>
              <w:t>52 N=12 scenarios plus 16 stresses from four preregistered N=18 M4 models</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559699C" w14:textId="77777777" w:rsidR="00FE5CF5" w:rsidRDefault="00F3169B">
            <w:pPr>
              <w:spacing w:after="0" w:line="240" w:lineRule="auto"/>
              <w:jc w:val="center"/>
            </w:pPr>
            <w:r>
              <w:rPr>
                <w:rFonts w:eastAsia="Times New Roman" w:cs="Times New Roman"/>
                <w:sz w:val="16"/>
              </w:rPr>
              <w:t xml:space="preserve">no final set point; the </w:t>
            </w:r>
            <w:r>
              <w:rPr>
                <w:rFonts w:eastAsia="Times New Roman" w:cs="Times New Roman"/>
                <w:sz w:val="16"/>
              </w:rPr>
              <w:t>adversarial minimax coordinate is 1.4890 T with 34.55% regret</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2358880" w14:textId="77777777" w:rsidR="00FE5CF5" w:rsidRDefault="00F3169B">
            <w:pPr>
              <w:spacing w:after="0" w:line="240" w:lineRule="auto"/>
              <w:jc w:val="center"/>
            </w:pPr>
            <w:r>
              <w:rPr>
                <w:rFonts w:eastAsia="Times New Roman" w:cs="Times New Roman"/>
                <w:sz w:val="16"/>
              </w:rPr>
              <w:t>obtain bulk-converged M4 thermodynamics or measure the expanded heat profile</w:t>
            </w:r>
          </w:p>
        </w:tc>
      </w:tr>
      <w:tr w:rsidR="00FE5CF5" w14:paraId="465A1497"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B7743AA" w14:textId="77777777" w:rsidR="00FE5CF5" w:rsidRDefault="00F3169B">
            <w:pPr>
              <w:spacing w:after="0" w:line="240" w:lineRule="auto"/>
            </w:pPr>
            <w:r>
              <w:rPr>
                <w:rFonts w:eastAsia="Times New Roman" w:cs="Times New Roman"/>
                <w:sz w:val="16"/>
              </w:rPr>
              <w:t>What measurement closes the field ambiguity?</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96BBADB" w14:textId="77777777" w:rsidR="00FE5CF5" w:rsidRDefault="00F3169B">
            <w:pPr>
              <w:spacing w:after="0" w:line="240" w:lineRule="auto"/>
              <w:jc w:val="center"/>
            </w:pPr>
            <w:r>
              <w:rPr>
                <w:rFonts w:eastAsia="Times New Roman" w:cs="Times New Roman"/>
                <w:sz w:val="16"/>
              </w:rPr>
              <w:t>exhaustive search over 5,671 pairs on a 107-field grid</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4EC4531" w14:textId="77777777" w:rsidR="00FE5CF5" w:rsidRDefault="00F3169B">
            <w:pPr>
              <w:spacing w:after="0" w:line="240" w:lineRule="auto"/>
              <w:jc w:val="center"/>
            </w:pPr>
            <w:r>
              <w:rPr>
                <w:rFonts w:eastAsia="Times New Roman" w:cs="Times New Roman"/>
                <w:sz w:val="16"/>
              </w:rPr>
              <w:t>first measure 1.</w:t>
            </w:r>
            <w:r>
              <w:rPr>
                <w:rFonts w:eastAsia="Times New Roman" w:cs="Times New Roman"/>
                <w:sz w:val="16"/>
              </w:rPr>
              <w:t>292 and 1.716 T at 90 mK; at a ±2.5% heat bound the worst regret is 4.246%; retain the 1.292–1.716 T sweep</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7273647" w14:textId="77777777" w:rsidR="00FE5CF5" w:rsidRDefault="00F3169B">
            <w:pPr>
              <w:spacing w:after="0" w:line="240" w:lineRule="auto"/>
              <w:jc w:val="center"/>
            </w:pPr>
            <w:r>
              <w:rPr>
                <w:rFonts w:eastAsia="Times New Roman" w:cs="Times New Roman"/>
                <w:sz w:val="16"/>
              </w:rPr>
              <w:t>treat an observation outside the 68-scenario envelope as model falsification</w:t>
            </w:r>
          </w:p>
        </w:tc>
      </w:tr>
      <w:tr w:rsidR="00FE5CF5" w14:paraId="7FA1F0C6"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8D4B3AF" w14:textId="77777777" w:rsidR="00FE5CF5" w:rsidRDefault="00F3169B">
            <w:pPr>
              <w:spacing w:after="0" w:line="240" w:lineRule="auto"/>
            </w:pPr>
            <w:r>
              <w:rPr>
                <w:rFonts w:eastAsia="Times New Roman" w:cs="Times New Roman"/>
                <w:sz w:val="16"/>
              </w:rPr>
              <w:t>How much NBCP is required?</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2FDF758" w14:textId="77777777" w:rsidR="00FE5CF5" w:rsidRDefault="00F3169B">
            <w:pPr>
              <w:spacing w:after="0" w:line="240" w:lineRule="auto"/>
              <w:jc w:val="center"/>
            </w:pPr>
            <w:r>
              <w:rPr>
                <w:rFonts w:eastAsia="Times New Roman" w:cs="Times New Roman"/>
                <w:sz w:val="16"/>
              </w:rPr>
              <w:t xml:space="preserve">N=12-conditional entropy budget and </w:t>
            </w:r>
            <w:r>
              <w:rPr>
                <w:rFonts w:eastAsia="Times New Roman" w:cs="Times New Roman"/>
                <w:sz w:val="16"/>
              </w:rPr>
              <w:t>verified load-scaling identities</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406E2B4" w14:textId="77777777" w:rsidR="00FE5CF5" w:rsidRDefault="00F3169B">
            <w:pPr>
              <w:spacing w:after="0" w:line="240" w:lineRule="auto"/>
              <w:jc w:val="center"/>
            </w:pPr>
            <w:r>
              <w:rPr>
                <w:rFonts w:eastAsia="Times New Roman" w:cs="Times New Roman"/>
                <w:sz w:val="16"/>
              </w:rPr>
              <w:t>3.96 g and its steady/transient multiples are pre-convergence examples only</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733F745" w14:textId="77777777" w:rsidR="00FE5CF5" w:rsidRDefault="00F3169B">
            <w:pPr>
              <w:spacing w:after="0" w:line="240" w:lineRule="auto"/>
              <w:jc w:val="center"/>
            </w:pPr>
            <w:r>
              <w:rPr>
                <w:rFonts w:eastAsia="Times New Roman" w:cs="Times New Roman"/>
                <w:sz w:val="16"/>
              </w:rPr>
              <w:t>determine heat from a bulk-converged or measured profile, then add actual package losses</w:t>
            </w:r>
          </w:p>
        </w:tc>
      </w:tr>
      <w:tr w:rsidR="00FE5CF5" w14:paraId="17E78035"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29ECC8D" w14:textId="77777777" w:rsidR="00FE5CF5" w:rsidRDefault="00F3169B">
            <w:pPr>
              <w:spacing w:after="0" w:line="240" w:lineRule="auto"/>
            </w:pPr>
            <w:r>
              <w:rPr>
                <w:rFonts w:eastAsia="Times New Roman" w:cs="Times New Roman"/>
                <w:sz w:val="16"/>
              </w:rPr>
              <w:t>What package shape controls the applied-field error?</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119F100" w14:textId="4C4868B5" w:rsidR="00FE5CF5" w:rsidRDefault="00F3169B">
            <w:pPr>
              <w:spacing w:after="0" w:line="240" w:lineRule="auto"/>
              <w:jc w:val="center"/>
            </w:pPr>
            <w:r>
              <w:rPr>
                <w:rFonts w:eastAsia="Times New Roman" w:cs="Times New Roman"/>
                <w:sz w:val="16"/>
              </w:rPr>
              <w:t>publ</w:t>
            </w:r>
            <w:r>
              <w:rPr>
                <w:rFonts w:eastAsia="Times New Roman" w:cs="Times New Roman"/>
                <w:sz w:val="16"/>
              </w:rPr>
              <w:t xml:space="preserve">ic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c</m:t>
                  </m:r>
                </m:sub>
              </m:sSub>
            </m:oMath>
            <w:r>
              <w:rPr>
                <w:rFonts w:eastAsia="Times New Roman" w:cs="Times New Roman"/>
                <w:sz w:val="16"/>
              </w:rPr>
              <w:t>, lattice constants, plate dimensions, and an equal-volume spheroid envelope [20]</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B3F542E" w14:textId="6F5F4E02" w:rsidR="00FE5CF5" w:rsidRDefault="00F3169B">
            <w:pPr>
              <w:spacing w:after="0" w:line="240" w:lineRule="auto"/>
              <w:jc w:val="center"/>
            </w:pPr>
            <w:r>
              <w:rPr>
                <w:rFonts w:eastAsia="Times New Roman" w:cs="Times New Roman"/>
                <w:sz w:val="16"/>
              </w:rPr>
              <w:t xml:space="preserve">align the long dimension with </w:t>
            </w:r>
            <m:oMath>
              <m:r>
                <m:rPr>
                  <m:sty m:val="p"/>
                </m:rPr>
                <w:rPr>
                  <w:rFonts w:ascii="Cambria Math" w:hAnsi="Cambria Math"/>
                </w:rPr>
                <m:t>c</m:t>
              </m:r>
            </m:oMath>
            <w:r>
              <w:rPr>
                <w:rFonts w:eastAsia="Times New Roman" w:cs="Times New Roman"/>
                <w:sz w:val="16"/>
              </w:rPr>
              <w:t xml:space="preserve">; require </w:t>
            </w:r>
            <m:oMath>
              <m:f>
                <m:fPr>
                  <m:ctrlPr>
                    <w:rPr>
                      <w:rFonts w:ascii="Cambria Math" w:hAnsi="Cambria Math"/>
                    </w:rPr>
                  </m:ctrlPr>
                </m:fPr>
                <m:num>
                  <m:r>
                    <m:rPr>
                      <m:sty m:val="p"/>
                    </m:rPr>
                    <w:rPr>
                      <w:rFonts w:ascii="Cambria Math" w:hAnsi="Cambria Math"/>
                    </w:rPr>
                    <m:t>c</m:t>
                  </m:r>
                </m:num>
                <m:den>
                  <m:r>
                    <m:rPr>
                      <m:sty m:val="p"/>
                    </m:rPr>
                    <w:rPr>
                      <w:rFonts w:ascii="Cambria Math" w:hAnsi="Cambria Math"/>
                    </w:rPr>
                    <m:t>a</m:t>
                  </m:r>
                </m:den>
              </m:f>
              <m:r>
                <m:rPr>
                  <m:sty m:val="p"/>
                </m:rPr>
                <w:rPr>
                  <w:rFonts w:ascii="Cambria Math" w:hAnsi="Cambria Math"/>
                </w:rPr>
                <m:t>≥2.72</m:t>
              </m:r>
            </m:oMath>
            <w:r>
              <w:rPr>
                <w:rFonts w:eastAsia="Times New Roman" w:cs="Times New Roman"/>
                <w:sz w:val="16"/>
              </w:rPr>
              <w:t xml:space="preserve"> for a conservative correction below 0.02 T</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78D6EFB" w14:textId="681E3413" w:rsidR="00FE5CF5" w:rsidRDefault="00F3169B">
            <w:pPr>
              <w:spacing w:after="0" w:line="240" w:lineRule="auto"/>
              <w:jc w:val="center"/>
            </w:pPr>
            <w:r>
              <w:rPr>
                <w:rFonts w:eastAsia="Times New Roman" w:cs="Times New Roman"/>
                <w:sz w:val="16"/>
              </w:rPr>
              <w:t xml:space="preserve">measure actual dimensions, packing fraction, orientation, and </w:t>
            </w:r>
            <m:oMath>
              <m:r>
                <m:rPr>
                  <m:sty m:val="p"/>
                </m:rPr>
                <w:rPr>
                  <w:rFonts w:ascii="Cambria Math" w:hAnsi="Cambria Math"/>
                </w:rPr>
                <m:t>M</m:t>
              </m:r>
              <m:d>
                <m:dPr>
                  <m:ctrlPr>
                    <w:rPr>
                      <w:rFonts w:ascii="Cambria Math" w:hAnsi="Cambria Math"/>
                    </w:rPr>
                  </m:ctrlPr>
                </m:dPr>
                <m:e>
                  <m:r>
                    <m:rPr>
                      <m:sty m:val="p"/>
                    </m:rPr>
                    <w:rPr>
                      <w:rFonts w:ascii="Cambria Math" w:hAnsi="Cambria Math"/>
                    </w:rPr>
                    <m:t>B,T</m:t>
                  </m:r>
                </m:e>
              </m:d>
            </m:oMath>
            <w:r>
              <w:rPr>
                <w:rFonts w:eastAsia="Times New Roman" w:cs="Times New Roman"/>
                <w:sz w:val="16"/>
              </w:rPr>
              <w:t xml:space="preserve"> for </w:t>
            </w:r>
            <w:r>
              <w:rPr>
                <w:rFonts w:eastAsia="Times New Roman" w:cs="Times New Roman"/>
                <w:sz w:val="16"/>
              </w:rPr>
              <w:t>a self-consistent correction</w:t>
            </w:r>
          </w:p>
        </w:tc>
      </w:tr>
      <w:tr w:rsidR="00FE5CF5" w14:paraId="7903339B"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72E2FBF" w14:textId="77777777" w:rsidR="00FE5CF5" w:rsidRDefault="00F3169B">
            <w:pPr>
              <w:spacing w:after="0" w:line="240" w:lineRule="auto"/>
            </w:pPr>
            <w:r>
              <w:rPr>
                <w:rFonts w:eastAsia="Times New Roman" w:cs="Times New Roman"/>
                <w:sz w:val="16"/>
              </w:rPr>
              <w:t>Is one interlayer Hamiltonian or a threshold-crossing shift uniquely identified?</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1EA7899" w14:textId="77777777" w:rsidR="00FE5CF5" w:rsidRDefault="00F3169B">
            <w:pPr>
              <w:spacing w:after="0" w:line="240" w:lineRule="auto"/>
              <w:jc w:val="center"/>
            </w:pPr>
            <w:r>
              <w:rPr>
                <w:rFonts w:eastAsia="Times New Roman" w:cs="Times New Roman"/>
                <w:sz w:val="16"/>
              </w:rPr>
              <w:t>69 of 823 exact adaptive-audit models satisfy public-</w:t>
            </w:r>
            <m:oMath>
              <m:r>
                <m:rPr>
                  <m:sty m:val="p"/>
                </m:rPr>
                <w:rPr>
                  <w:rFonts w:ascii="Cambria Math" w:hAnsi="Cambria Math"/>
                </w:rPr>
                <m:t>q</m:t>
              </m:r>
            </m:oMath>
            <w:r>
              <w:rPr>
                <w:rFonts w:eastAsia="Times New Roman" w:cs="Times New Roman"/>
                <w:sz w:val="16"/>
              </w:rPr>
              <w:t xml:space="preserve">; four unused lower-field fan points give </w:t>
            </w:r>
            <m:oMath>
              <m:r>
                <m:rPr>
                  <m:sty m:val="p"/>
                </m:rPr>
                <w:rPr>
                  <w:rFonts w:ascii="Cambria Math" w:hAnsi="Cambria Math"/>
                </w:rPr>
                <m:t>ρ=0.940</m:t>
              </m:r>
            </m:oMath>
            <w:r>
              <w:rPr>
                <w:rFonts w:eastAsia="Times New Roman" w:cs="Times New Roman"/>
                <w:sz w:val="16"/>
              </w:rPr>
              <w:t xml:space="preserve">; an indicative INS bandwidth rule </w:t>
            </w:r>
            <w:r>
              <w:rPr>
                <w:rFonts w:eastAsia="Times New Roman" w:cs="Times New Roman"/>
                <w:sz w:val="16"/>
              </w:rPr>
              <w:t>retains 30, but direct linewidth/twin profiling leaves all 69 no worse than the source curve</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B2140A1" w14:textId="77777777" w:rsidR="00FE5CF5" w:rsidRDefault="00F3169B">
            <w:pPr>
              <w:spacing w:after="0" w:line="240" w:lineRule="auto"/>
              <w:jc w:val="center"/>
            </w:pPr>
            <w:r>
              <w:rPr>
                <w:rFonts w:eastAsia="Times New Roman" w:cs="Times New Roman"/>
                <w:sz w:val="16"/>
              </w:rPr>
              <w:t>no; propagate the full 0.0334–0.2021 T range</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5B91910" w14:textId="09F245CF" w:rsidR="00FE5CF5" w:rsidRDefault="00F3169B">
            <w:pPr>
              <w:spacing w:after="0" w:line="240" w:lineRule="auto"/>
              <w:jc w:val="center"/>
            </w:pPr>
            <w:r>
              <w:rPr>
                <w:rFonts w:eastAsia="Times New Roman" w:cs="Times New Roman"/>
                <w:sz w:val="16"/>
              </w:rPr>
              <w:t xml:space="preserve">jointly constrain raw </w:t>
            </w:r>
            <m:oMath>
              <m:r>
                <m:rPr>
                  <m:sty m:val="p"/>
                </m:rPr>
                <w:rPr>
                  <w:rFonts w:ascii="Cambria Math" w:hAnsi="Cambria Math"/>
                </w:rPr>
                <m:t>δ</m:t>
              </m:r>
              <m:d>
                <m:dPr>
                  <m:ctrlPr>
                    <w:rPr>
                      <w:rFonts w:ascii="Cambria Math" w:hAnsi="Cambria Math"/>
                    </w:rPr>
                  </m:ctrlPr>
                </m:dPr>
                <m:e>
                  <m:r>
                    <m:rPr>
                      <m:sty m:val="p"/>
                    </m:rPr>
                    <w:rPr>
                      <w:rFonts w:ascii="Cambria Math" w:hAnsi="Cambria Math"/>
                    </w:rPr>
                    <m:t>H</m:t>
                  </m:r>
                </m:e>
              </m:d>
            </m:oMath>
            <w:r>
              <w:rPr>
                <w:rFonts w:eastAsia="Times New Roman" w:cs="Times New Roman"/>
                <w:sz w:val="16"/>
              </w:rPr>
              <w:t xml:space="preserve">, </w:t>
            </w:r>
            <m:oMath>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z</m:t>
                      </m:r>
                    </m:e>
                  </m:d>
                  <m:d>
                    <m:dPr>
                      <m:ctrlPr>
                        <w:rPr>
                          <w:rFonts w:ascii="Cambria Math" w:hAnsi="Cambria Math"/>
                        </w:rPr>
                      </m:ctrlPr>
                    </m:dPr>
                    <m:e>
                      <m:r>
                        <m:rPr>
                          <m:sty m:val="p"/>
                        </m:rPr>
                        <w:rPr>
                          <w:rFonts w:ascii="Cambria Math" w:hAnsi="Cambria Math"/>
                        </w:rPr>
                        <m:t>H</m:t>
                      </m:r>
                    </m:e>
                  </m:d>
                </m:sub>
              </m:sSub>
            </m:oMath>
            <w:r>
              <w:rPr>
                <w:rFonts w:eastAsia="Times New Roman" w:cs="Times New Roman"/>
                <w:sz w:val="16"/>
              </w:rPr>
              <w:t xml:space="preserve">, phase boundaries, twin fractions, the resolution kernel, polarized </w:t>
            </w:r>
            <w:r>
              <w:rPr>
                <w:rFonts w:eastAsia="Times New Roman" w:cs="Times New Roman"/>
                <w:sz w:val="16"/>
              </w:rPr>
              <w:t>interlayer dispersion, and finite-temperature heat</w:t>
            </w:r>
          </w:p>
        </w:tc>
      </w:tr>
      <w:tr w:rsidR="00FE5CF5" w14:paraId="13410613"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ADFB560" w14:textId="77777777" w:rsidR="00FE5CF5" w:rsidRDefault="00F3169B">
            <w:pPr>
              <w:spacing w:after="0" w:line="240" w:lineRule="auto"/>
            </w:pPr>
            <w:r>
              <w:rPr>
                <w:rFonts w:eastAsia="Times New Roman" w:cs="Times New Roman"/>
                <w:sz w:val="16"/>
              </w:rPr>
              <w:t>Does field-resolved thermodynamic processing track direct cooling in another frustrated refrigerant?</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33DE54A" w14:textId="77777777" w:rsidR="00FE5CF5" w:rsidRDefault="00F3169B">
            <w:pPr>
              <w:spacing w:after="0" w:line="240" w:lineRule="auto"/>
              <w:jc w:val="center"/>
            </w:pPr>
            <w:r>
              <w:rPr>
                <w:rFonts w:eastAsia="Times New Roman" w:cs="Times New Roman"/>
                <w:sz w:val="16"/>
              </w:rPr>
              <w:t>12 public Gd₂B₂MoO₉ indirect/direct comparison points [18]</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8921150" w14:textId="77777777" w:rsidR="00FE5CF5" w:rsidRDefault="00F3169B">
            <w:pPr>
              <w:spacing w:after="0" w:line="240" w:lineRule="auto"/>
              <w:jc w:val="center"/>
            </w:pPr>
            <w:r>
              <w:rPr>
                <w:rFonts w:eastAsia="Times New Roman" w:cs="Times New Roman"/>
                <w:sz w:val="16"/>
              </w:rPr>
              <w:t>yes at 13.8 mK mean absolute and 27.6 mK max</w:t>
            </w:r>
            <w:r>
              <w:rPr>
                <w:rFonts w:eastAsia="Times New Roman" w:cs="Times New Roman"/>
                <w:sz w:val="16"/>
              </w:rPr>
              <w:t>imum error</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6AF0433" w14:textId="77777777" w:rsidR="00FE5CF5" w:rsidRDefault="00F3169B">
            <w:pPr>
              <w:spacing w:after="0" w:line="240" w:lineRule="auto"/>
              <w:jc w:val="center"/>
            </w:pPr>
            <w:r>
              <w:rPr>
                <w:rFonts w:eastAsia="Times New Roman" w:cs="Times New Roman"/>
                <w:sz w:val="16"/>
              </w:rPr>
              <w:t>validates the processing step, not the NBCP field-shift surrogate or package model</w:t>
            </w:r>
          </w:p>
        </w:tc>
      </w:tr>
      <w:tr w:rsidR="00FE5CF5" w14:paraId="5D6C1A6C"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092CFCF" w14:textId="77777777" w:rsidR="00FE5CF5" w:rsidRDefault="00F3169B">
            <w:pPr>
              <w:spacing w:after="0" w:line="240" w:lineRule="auto"/>
            </w:pPr>
            <w:r>
              <w:rPr>
                <w:rFonts w:eastAsia="Times New Roman" w:cs="Times New Roman"/>
                <w:sz w:val="16"/>
              </w:rPr>
              <w:t>Does the stage heat balance predict an independent physical device?</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B3B07EC" w14:textId="77777777" w:rsidR="00FE5CF5" w:rsidRDefault="00F3169B">
            <w:pPr>
              <w:spacing w:after="0" w:line="240" w:lineRule="auto"/>
              <w:jc w:val="center"/>
            </w:pPr>
            <w:r>
              <w:rPr>
                <w:rFonts w:eastAsia="Times New Roman" w:cs="Times New Roman"/>
                <w:sz w:val="16"/>
              </w:rPr>
              <w:t>two-load YbNi₁.₆Sn calibration and disjoint temperature holdout [19]</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2ABCCC5" w14:textId="77777777" w:rsidR="00FE5CF5" w:rsidRDefault="00F3169B">
            <w:pPr>
              <w:spacing w:after="0" w:line="240" w:lineRule="auto"/>
              <w:jc w:val="center"/>
            </w:pPr>
            <w:r>
              <w:rPr>
                <w:rFonts w:eastAsia="Times New Roman" w:cs="Times New Roman"/>
                <w:sz w:val="16"/>
              </w:rPr>
              <w:t xml:space="preserve">recovers 15.22 g and </w:t>
            </w:r>
            <w:r>
              <w:rPr>
                <w:rFonts w:eastAsia="Times New Roman" w:cs="Times New Roman"/>
                <w:sz w:val="16"/>
              </w:rPr>
              <w:t>0.254 microWatt; holdout NRMSE 0.592%</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3DB417D" w14:textId="77777777" w:rsidR="00FE5CF5" w:rsidRDefault="00F3169B">
            <w:pPr>
              <w:spacing w:after="0" w:line="240" w:lineRule="auto"/>
              <w:jc w:val="center"/>
            </w:pPr>
            <w:r>
              <w:rPr>
                <w:rFonts w:eastAsia="Times New Roman" w:cs="Times New Roman"/>
                <w:sz w:val="16"/>
              </w:rPr>
              <w:t>validates the lumped identity, not NBCP-specific package losses</w:t>
            </w:r>
          </w:p>
        </w:tc>
      </w:tr>
      <w:tr w:rsidR="00FE5CF5" w14:paraId="3AC8A44A"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73E930E" w14:textId="77777777" w:rsidR="00FE5CF5" w:rsidRDefault="00F3169B">
            <w:pPr>
              <w:spacing w:after="0" w:line="240" w:lineRule="auto"/>
            </w:pPr>
            <w:r>
              <w:rPr>
                <w:rFonts w:eastAsia="Times New Roman" w:cs="Times New Roman"/>
                <w:sz w:val="16"/>
              </w:rPr>
              <w:t>Can present quantum hardware recover the selected low-energy correction?</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69C3030" w14:textId="77777777" w:rsidR="00FE5CF5" w:rsidRDefault="00F3169B">
            <w:pPr>
              <w:spacing w:after="0" w:line="240" w:lineRule="auto"/>
              <w:jc w:val="center"/>
            </w:pPr>
            <w:r>
              <w:rPr>
                <w:rFonts w:eastAsia="Times New Roman" w:cs="Times New Roman"/>
                <w:sz w:val="16"/>
              </w:rPr>
              <w:t>nine adaptive six-qubit circuits on IBM Kingston, paired twirled-TREX and ZNE jo</w:t>
            </w:r>
            <w:r>
              <w:rPr>
                <w:rFonts w:eastAsia="Times New Roman" w:cs="Times New Roman"/>
                <w:sz w:val="16"/>
              </w:rPr>
              <w:t>bs</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0F192CE" w14:textId="2CC69561" w:rsidR="00FE5CF5" w:rsidRDefault="00F3169B">
            <w:pPr>
              <w:spacing w:after="0" w:line="240" w:lineRule="auto"/>
              <w:jc w:val="center"/>
            </w:pPr>
            <w:r>
              <w:rPr>
                <w:rFonts w:eastAsia="Times New Roman" w:cs="Times New Roman"/>
                <w:sz w:val="16"/>
              </w:rPr>
              <w:t xml:space="preserve">sign resolved and separated from zero; best magnitude −0.02682 versus exact −0.04161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sz w:val="16"/>
              </w:rPr>
              <w:t xml:space="preserve"> per spin</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E99BBDC" w14:textId="77777777" w:rsidR="00FE5CF5" w:rsidRDefault="00F3169B">
            <w:pPr>
              <w:spacing w:after="0" w:line="240" w:lineRule="auto"/>
              <w:jc w:val="center"/>
            </w:pPr>
            <w:r>
              <w:rPr>
                <w:rFonts w:eastAsia="Times New Roman" w:cs="Times New Roman"/>
                <w:sz w:val="16"/>
              </w:rPr>
              <w:t>do not use hardware magnitude for bulk field or inventory; reduce circuit/device bias and demonstrate scalable state discovery</w:t>
            </w:r>
          </w:p>
        </w:tc>
      </w:tr>
    </w:tbl>
    <w:p w14:paraId="3E537BA8" w14:textId="77777777" w:rsidR="00FE5CF5" w:rsidRDefault="00FE5CF5">
      <w:pPr>
        <w:spacing w:after="40"/>
      </w:pPr>
    </w:p>
    <w:p w14:paraId="23BBAE88" w14:textId="77777777" w:rsidR="00FE5CF5" w:rsidRDefault="00F3169B">
      <w:pPr>
        <w:pStyle w:val="21"/>
      </w:pPr>
      <w:r>
        <w:rPr>
          <w:rFonts w:ascii="Times New Roman" w:eastAsia="Times New Roman" w:hAnsi="Times New Roman" w:cs="Times New Roman"/>
        </w:rPr>
        <w:t xml:space="preserve">B. </w:t>
      </w:r>
      <w:r>
        <w:rPr>
          <w:rFonts w:ascii="Times New Roman" w:eastAsia="Times New Roman" w:hAnsi="Times New Roman" w:cs="Times New Roman"/>
        </w:rPr>
        <w:t>Limitations</w:t>
      </w:r>
    </w:p>
    <w:p w14:paraId="72234A5B" w14:textId="77777777" w:rsidR="00FE5CF5" w:rsidRDefault="00F3169B">
      <w:pPr>
        <w:jc w:val="both"/>
      </w:pPr>
      <w:r>
        <w:rPr>
          <w:rFonts w:eastAsia="Times New Roman" w:cs="Times New Roman"/>
        </w:rPr>
        <w:t>The largest physical limitation is the absence of a converged three-dimensional finite-temperature M4 solution. The N=18 escalation removes the two-site planar circumference and is compatible with three-sublattice order, but it remains one peri</w:t>
      </w:r>
      <w:r>
        <w:rPr>
          <w:rFonts w:eastAsia="Times New Roman" w:cs="Times New Roman"/>
        </w:rPr>
        <w:t>odic geometry and uses a projected-magnon space. State-count and cutoff checks control the declared numerical projection; they do not control the thermodynamic limit. The sharp N=12-to-N=18 change is therefore used to reject quantitative transfer of the sm</w:t>
      </w:r>
      <w:r>
        <w:rPr>
          <w:rFonts w:eastAsia="Times New Roman" w:cs="Times New Roman"/>
        </w:rPr>
        <w:t>aller cluster, not to label the N=18 curve as bulk.</w:t>
      </w:r>
    </w:p>
    <w:p w14:paraId="4EE872AE" w14:textId="24CD5CB3" w:rsidR="00FE5CF5" w:rsidRDefault="00F3169B">
      <w:pPr>
        <w:jc w:val="both"/>
      </w:pPr>
      <w:r>
        <w:rPr>
          <w:rFonts w:eastAsia="Times New Roman" w:cs="Times New Roman"/>
        </w:rPr>
        <w:t xml:space="preserve">The public experimental curves provide only four terminal fields. The direct 90–300 mK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rPr>
        <w:t xml:space="preserve"> result is a measured-candidate set. The absence of a common continuous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rPr>
        <w:t xml:space="preserve"> at 90–120 mK under the shape env</w:t>
      </w:r>
      <w:r>
        <w:rPr>
          <w:rFonts w:eastAsia="Times New Roman" w:cs="Times New Roman"/>
        </w:rPr>
        <w:t>elope is a value-of-information result, not an experimental confidence statement. Experimental confidence intervals are unavailable for several source curves, so we do not fabricate statistical error bars or interpret stress-grid coverage as probability.</w:t>
      </w:r>
    </w:p>
    <w:p w14:paraId="46844D29" w14:textId="77777777" w:rsidR="00FE5CF5" w:rsidRDefault="00F3169B">
      <w:pPr>
        <w:jc w:val="both"/>
      </w:pPr>
      <w:r>
        <w:rPr>
          <w:rFonts w:eastAsia="Times New Roman" w:cs="Times New Roman"/>
        </w:rPr>
        <w:t>T</w:t>
      </w:r>
      <w:r>
        <w:rPr>
          <w:rFonts w:eastAsia="Times New Roman" w:cs="Times New Roman"/>
        </w:rPr>
        <w:t>he revised measurement panel is conditional on 52 N=12 scenarios plus four correlated N=18 size stresses. Its bounded-error overlaps are conservative set-membership tests, not a noise likelihood, and the error fractions are resolution requirements rather t</w:t>
      </w:r>
      <w:r>
        <w:rPr>
          <w:rFonts w:eastAsia="Times New Roman" w:cs="Times New Roman"/>
        </w:rPr>
        <w:t>han measured instrument uncertainties. All 5,671 two-point panels on the 107-field grid are enumerated, but the four N=18 curves cannot span every possible bulk finite-size trajectory. A measured heat value outside the envelope would falsify the scenario s</w:t>
      </w:r>
      <w:r>
        <w:rPr>
          <w:rFonts w:eastAsia="Times New Roman" w:cs="Times New Roman"/>
        </w:rPr>
        <w:t>et and require expansion rather than assignment to the nearest template.</w:t>
      </w:r>
    </w:p>
    <w:p w14:paraId="5C90F077" w14:textId="77777777" w:rsidR="00FE5CF5" w:rsidRDefault="00F3169B">
      <w:pPr>
        <w:jc w:val="both"/>
      </w:pPr>
      <w:r>
        <w:rPr>
          <w:rFonts w:eastAsia="Times New Roman" w:cs="Times New Roman"/>
        </w:rPr>
        <w:t>The interlayer search remains a finite stress design. The adaptive audit improves coverage from 631 to 823 exact M4 evaluations and targets the public-(q) boundary and predicted extre</w:t>
      </w:r>
      <w:r>
        <w:rPr>
          <w:rFonts w:eastAsia="Times New Roman" w:cs="Times New Roman"/>
        </w:rPr>
        <w:t xml:space="preserve">ma, but its last-round minimum still moves by 0.00228 T. It therefore does not establish a posterior distribution or mathematically exhaust the continuous parameter box. Its scientific value is adversarial: it demonstrates that the initial local and Sobol </w:t>
      </w:r>
      <w:r>
        <w:rPr>
          <w:rFonts w:eastAsia="Times New Roman" w:cs="Times New Roman"/>
        </w:rPr>
        <w:t>designs missed compatible low- and high-effect models. The inference also continues to depend mainly on the public out-of-plane wavevector.</w:t>
      </w:r>
    </w:p>
    <w:p w14:paraId="3F65E584" w14:textId="0DF00EB0" w:rsidR="00FE5CF5" w:rsidRDefault="00F3169B">
      <w:pPr>
        <w:jc w:val="both"/>
      </w:pPr>
      <w:r>
        <w:rPr>
          <w:rFonts w:eastAsia="Times New Roman" w:cs="Times New Roman"/>
        </w:rPr>
        <w:t>The field-dependent fan audit uses four values digitized from a vector figure because a reduced numerical table is n</w:t>
      </w:r>
      <w:r>
        <w:rPr>
          <w:rFonts w:eastAsia="Times New Roman" w:cs="Times New Roman"/>
        </w:rPr>
        <w:t>ot public. All retained mean-field curves evolve more slowly than experiment at 1.45 T, so even the best relative model is not a quantitatively adequate curve fit. The holdout ranking cannot be converted into posterior weights, and its 23-model relative su</w:t>
      </w:r>
      <w:r>
        <w:rPr>
          <w:rFonts w:eastAsia="Times New Roman" w:cs="Times New Roman"/>
        </w:rPr>
        <w:t xml:space="preserve">bset does not replace the full set-valued design range. Raw reduced diffraction data and a simultaneous calculation of the V–fan transition and </w:t>
      </w:r>
      <m:oMath>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z</m:t>
                </m:r>
              </m:e>
            </m:d>
            <m:d>
              <m:dPr>
                <m:ctrlPr>
                  <w:rPr>
                    <w:rFonts w:ascii="Cambria Math" w:hAnsi="Cambria Math"/>
                  </w:rPr>
                </m:ctrlPr>
              </m:dPr>
              <m:e>
                <m:r>
                  <m:rPr>
                    <m:sty m:val="p"/>
                  </m:rPr>
                  <w:rPr>
                    <w:rFonts w:ascii="Cambria Math" w:hAnsi="Cambria Math"/>
                  </w:rPr>
                  <m:t>H</m:t>
                </m:r>
              </m:e>
            </m:d>
          </m:sub>
        </m:sSub>
      </m:oMath>
      <w:r>
        <w:rPr>
          <w:rFonts w:eastAsia="Times New Roman" w:cs="Times New Roman"/>
        </w:rPr>
        <w:t xml:space="preserve"> are needed for that step.</w:t>
      </w:r>
    </w:p>
    <w:p w14:paraId="4322BC17" w14:textId="4796F12A" w:rsidR="00FE5CF5" w:rsidRDefault="00F3169B">
      <w:pPr>
        <w:jc w:val="both"/>
      </w:pPr>
      <w:r>
        <w:rPr>
          <w:rFonts w:eastAsia="Times New Roman" w:cs="Times New Roman"/>
        </w:rPr>
        <w:t>The INS audit uses an archived calculated bandwidth corresponding to the sour</w:t>
      </w:r>
      <w:r>
        <w:rPr>
          <w:rFonts w:eastAsia="Times New Roman" w:cs="Times New Roman"/>
        </w:rPr>
        <w:t xml:space="preserve">ce's simplified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=3</m:t>
        </m:r>
      </m:oMath>
      <w:r>
        <w:rPr>
          <w:rFonts w:eastAsia="Times New Roman" w:cs="Times New Roman"/>
        </w:rPr>
        <w:t xml:space="preserve"> microelectronvolt model. The source itself calls this an indicative upper bound: the calculated linewidth has </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r>
          <m:rPr>
            <m:sty m:val="p"/>
          </m:rPr>
          <w:rPr>
            <w:rFonts w:ascii="Cambria Math" w:hAnsi="Cambria Math"/>
          </w:rPr>
          <m:t>=28.35</m:t>
        </m:r>
      </m:oMath>
      <w:r>
        <w:rPr>
          <w:rFonts w:eastAsia="Times New Roman" w:cs="Times New Roman"/>
        </w:rPr>
        <w:t xml:space="preserve"> for 11 published points without refitting, and the predicted energy modulation is not resolved in the data. </w:t>
      </w:r>
      <w:r>
        <w:rPr>
          <w:rFonts w:eastAsia="Times New Roman" w:cs="Times New Roman"/>
        </w:rPr>
        <w:t xml:space="preserve">In addition, the M4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oMath>
      <w:r>
        <w:rPr>
          <w:rFonts w:eastAsia="Times New Roman" w:cs="Times New Roman"/>
        </w:rPr>
        <w:t xml:space="preserve"> topology is more general than the source's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oMath>
      <w:r>
        <w:rPr>
          <w:rFonts w:eastAsia="Times New Roman" w:cs="Times New Roman"/>
        </w:rPr>
        <w:t>-only model. The calibrated linewidth proxy reproduces the source curve but deliberately profiles only an effective twin-mixture coefficient while fixing the published 0.</w:t>
      </w:r>
      <w:r>
        <w:rPr>
          <w:rFonts w:eastAsia="Times New Roman" w:cs="Times New Roman"/>
        </w:rPr>
        <w:t>027 meV resolution. Its all-model non-rejection is a diagnostic of insufficient information, not a posterior equivalence claim. A calibrated reduction would require the full resolution function, independently constrained twin populations, reduced counts, a</w:t>
      </w:r>
      <w:r>
        <w:rPr>
          <w:rFonts w:eastAsia="Times New Roman" w:cs="Times New Roman"/>
        </w:rPr>
        <w:t>nd a joint multi-branch fit.</w:t>
      </w:r>
    </w:p>
    <w:p w14:paraId="26968E9B" w14:textId="77777777" w:rsidR="00FE5CF5" w:rsidRDefault="00F3169B">
      <w:pPr>
        <w:jc w:val="both"/>
      </w:pPr>
      <w:r>
        <w:rPr>
          <w:rFonts w:eastAsia="Times New Roman" w:cs="Times New Roman"/>
        </w:rPr>
        <w:t>The source-data audit found that the labels of Extended Data Fig. 6 sheets a/b do not reproduce the article's identifiable 94 mK NBCP point, while the independent time traces in sheet d do. We therefore exclude the ambiguous a/</w:t>
      </w:r>
      <w:r>
        <w:rPr>
          <w:rFonts w:eastAsia="Times New Roman" w:cs="Times New Roman"/>
        </w:rPr>
        <w:t>b labels from new cross-material calculations. This protects the present operating-field result, which uses separate entropy and heat-capacity data, but it prevents a fresh reanalysis of the same-volume demagnetization ranking from that workbook alone.</w:t>
      </w:r>
    </w:p>
    <w:p w14:paraId="78E99863" w14:textId="77777777" w:rsidR="00FE5CF5" w:rsidRDefault="00F3169B">
      <w:pPr>
        <w:jc w:val="both"/>
      </w:pPr>
      <w:r>
        <w:rPr>
          <w:rFonts w:eastAsia="Times New Roman" w:cs="Times New Roman"/>
        </w:rPr>
        <w:t>The</w:t>
      </w:r>
      <w:r>
        <w:rPr>
          <w:rFonts w:eastAsia="Times New Roman" w:cs="Times New Roman"/>
        </w:rPr>
        <w:t xml:space="preserve"> QPU benchmark uses six qubits, an open patch, and exact classical eigenvectors as circuit-fitting targets. It therefore demonstrates a complete hardware measurement-and-propagation path, not quantum advantage, scalable eigenstate discovery, or an N=18 cal</w:t>
      </w:r>
      <w:r>
        <w:rPr>
          <w:rFonts w:eastAsia="Times New Roman" w:cs="Times New Roman"/>
        </w:rPr>
        <w:t>culation. Reported Estimator errors also omit correlated calibration drift and residual device bias; the exact benchmark shows that this omitted bias remains decisive even after ZNE. No QPU value enters the bulk scenario envelope, robust field, or material</w:t>
      </w:r>
      <w:r>
        <w:rPr>
          <w:rFonts w:eastAsia="Times New Roman" w:cs="Times New Roman"/>
        </w:rPr>
        <w:t xml:space="preserve"> inventory.</w:t>
      </w:r>
    </w:p>
    <w:p w14:paraId="34880421" w14:textId="77777777" w:rsidR="00FE5CF5" w:rsidRDefault="00F3169B">
      <w:pPr>
        <w:jc w:val="both"/>
      </w:pPr>
      <w:r>
        <w:rPr>
          <w:rFonts w:eastAsia="Times New Roman" w:cs="Times New Roman"/>
        </w:rPr>
        <w:t>The heat budgets include only magnetic entropy. The stage and transient envelopes validate the scaling identities and expose the required device inputs, but the failed size-transfer gate removes the N=12 heat value as a final inventory basis. T</w:t>
      </w:r>
      <w:r>
        <w:rPr>
          <w:rFonts w:eastAsia="Times New Roman" w:cs="Times New Roman"/>
        </w:rPr>
        <w:t>he YbNi₁.₆Sn holdout validates the lumped heat-capacity-to-hold-time identity; it does not infer NBCP losses. A complete prediction still requires a bulk-converged or measured NBCP heat profile together with nuclear and phonon heat capacities, package adde</w:t>
      </w:r>
      <w:r>
        <w:rPr>
          <w:rFonts w:eastAsia="Times New Roman" w:cs="Times New Roman"/>
        </w:rPr>
        <w:t>nda, heat-switch conduction, wiring, contact resistance, ramp-rate-dependent loss, and warm-side regeneration heat.</w:t>
      </w:r>
    </w:p>
    <w:p w14:paraId="61132AB2" w14:textId="2BC14B27" w:rsidR="00FE5CF5" w:rsidRDefault="00F3169B">
      <w:pPr>
        <w:jc w:val="both"/>
      </w:pPr>
      <w:r>
        <w:rPr>
          <w:rFonts w:eastAsia="Times New Roman" w:cs="Times New Roman"/>
        </w:rPr>
        <w:t>The equal-volume spheroid is a conservative package envelope, not an exact rectangular-prism or packed-powder calculation. Saturation magnet</w:t>
      </w:r>
      <w:r>
        <w:rPr>
          <w:rFonts w:eastAsia="Times New Roman" w:cs="Times New Roman"/>
        </w:rPr>
        <w:t>ization bounds the correction but overestimates it away from saturation. The public 1.65 g sample-column dimensions are unavailable, so its applied/internal-field relation cannot be reconstructed. Final field acceptance requires the actual package geometry</w:t>
      </w:r>
      <w:r>
        <w:rPr>
          <w:rFonts w:eastAsia="Times New Roman" w:cs="Times New Roman"/>
        </w:rPr>
        <w:t xml:space="preserve"> and a self-consistent measured </w:t>
      </w:r>
      <m:oMath>
        <m:r>
          <m:rPr>
            <m:sty m:val="p"/>
          </m:rPr>
          <w:rPr>
            <w:rFonts w:ascii="Cambria Math" w:hAnsi="Cambria Math"/>
          </w:rPr>
          <m:t>M</m:t>
        </m:r>
        <m:d>
          <m:dPr>
            <m:ctrlPr>
              <w:rPr>
                <w:rFonts w:ascii="Cambria Math" w:hAnsi="Cambria Math"/>
              </w:rPr>
            </m:ctrlPr>
          </m:dPr>
          <m:e>
            <m:r>
              <m:rPr>
                <m:sty m:val="p"/>
              </m:rPr>
              <w:rPr>
                <w:rFonts w:ascii="Cambria Math" w:hAnsi="Cambria Math"/>
              </w:rPr>
              <m:t>B,T</m:t>
            </m:r>
          </m:e>
        </m:d>
      </m:oMath>
      <w:r>
        <w:rPr>
          <w:rFonts w:eastAsia="Times New Roman" w:cs="Times New Roman"/>
        </w:rPr>
        <w:t xml:space="preserve"> correction.</w:t>
      </w:r>
    </w:p>
    <w:p w14:paraId="3759DE29" w14:textId="77777777" w:rsidR="00FE5CF5" w:rsidRDefault="00F3169B">
      <w:pPr>
        <w:pStyle w:val="1"/>
      </w:pPr>
      <w:r>
        <w:rPr>
          <w:rFonts w:ascii="Times New Roman" w:eastAsia="Times New Roman" w:hAnsi="Times New Roman" w:cs="Times New Roman"/>
        </w:rPr>
        <w:t>VI. Conclusions</w:t>
      </w:r>
    </w:p>
    <w:p w14:paraId="0DAC892A" w14:textId="77777777" w:rsidR="00FE5CF5" w:rsidRDefault="00F3169B">
      <w:pPr>
        <w:jc w:val="both"/>
      </w:pPr>
      <w:r>
        <w:rPr>
          <w:rFonts w:eastAsia="Times New Roman" w:cs="Times New Roman"/>
        </w:rPr>
        <w:t>This study turns numerical size and sample shape into explicit engineering gates for a frustrated-magnet refrigerant. Long-range dipolar summation and interlayer topology first produce a 0.</w:t>
      </w:r>
      <w:r>
        <w:rPr>
          <w:rFonts w:eastAsia="Times New Roman" w:cs="Times New Roman"/>
        </w:rPr>
        <w:t>0334–0.2021 T set-valued critical-field correction across 69 public-wavevector-compatible models. Independent fan and neutron observables rank or trim sensitivities but do not identify one correction. A refrigerator set point therefore cannot be inferred f</w:t>
      </w:r>
      <w:r>
        <w:rPr>
          <w:rFonts w:eastAsia="Times New Roman" w:cs="Times New Roman"/>
        </w:rPr>
        <w:t>rom the polarized critical field alone.</w:t>
      </w:r>
    </w:p>
    <w:p w14:paraId="2F16C190" w14:textId="77777777" w:rsidR="00FE5CF5" w:rsidRDefault="00F3169B">
      <w:pPr>
        <w:jc w:val="both"/>
      </w:pPr>
      <w:r>
        <w:rPr>
          <w:rFonts w:eastAsia="Times New Roman" w:cs="Times New Roman"/>
        </w:rPr>
        <w:t>Direct finite-temperature calculation supplies the decisive result. A preregistered minimum, nominal, median-distinct, and maximum-effect M4 cover gives N=18 optimum shifts of 0.293–0.425 T and peak-heat ratios of 0.</w:t>
      </w:r>
      <w:r>
        <w:rPr>
          <w:rFonts w:eastAsia="Times New Roman" w:cs="Times New Roman"/>
        </w:rPr>
        <w:t>537–0.852; 4 of four models cross the declared major-transfer threshold. The common-grid, close-peak, state-count, and projected-magnon checks pass inside N=18. The result rejects universal quantitative transfer of the N=12 templates while remaining explic</w:t>
      </w:r>
      <w:r>
        <w:rPr>
          <w:rFonts w:eastAsia="Times New Roman" w:cs="Times New Roman"/>
        </w:rPr>
        <w:t>itly short of a thermodynamic-limit prediction.</w:t>
      </w:r>
    </w:p>
    <w:p w14:paraId="170C78B9" w14:textId="77777777" w:rsidR="00FE5CF5" w:rsidRDefault="00F3169B">
      <w:pPr>
        <w:jc w:val="both"/>
      </w:pPr>
      <w:r>
        <w:rPr>
          <w:rFonts w:eastAsia="Times New Roman" w:cs="Times New Roman"/>
        </w:rPr>
        <w:t>That result changes the engineering output. Propagating 16 correlated N=18 stresses gives 34.55% unmeasured worst regret at 1.4890 T across 68 scenarios. The former 1.366 T and 3.96 g results, together with t</w:t>
      </w:r>
      <w:r>
        <w:rPr>
          <w:rFonts w:eastAsia="Times New Roman" w:cs="Times New Roman"/>
        </w:rPr>
        <w:t>heir steady- and transient-load multiples, remain N=12-conditional pre-convergence examples rather than package acceptance values.</w:t>
      </w:r>
    </w:p>
    <w:p w14:paraId="548008A7" w14:textId="77777777" w:rsidR="00FE5CF5" w:rsidRDefault="00F3169B">
      <w:pPr>
        <w:jc w:val="both"/>
      </w:pPr>
      <w:r>
        <w:rPr>
          <w:rFonts w:eastAsia="Times New Roman" w:cs="Times New Roman"/>
        </w:rPr>
        <w:t xml:space="preserve">The surviving output is a falsifiable measurement plan. Peak support is 1.2943–1.7136 T, requiring a 1.292–1.716 T sweep at </w:t>
      </w:r>
      <w:r>
        <w:rPr>
          <w:rFonts w:eastAsia="Times New Roman" w:cs="Times New Roman"/>
        </w:rPr>
        <w:t>0.004 T spacing. Exhaustive search of 5,671 two-point panels selects 1.292 and 1.716 T and leaves 4.246% regret at a ±2.5% heat bound. The complete 107-point sweep leaves 1.820% and tests whether the finite-cluster scenario set is adequate.</w:t>
      </w:r>
    </w:p>
    <w:p w14:paraId="4ED8D864" w14:textId="3D4DA29F" w:rsidR="00FE5CF5" w:rsidRDefault="00F3169B">
      <w:pPr>
        <w:jc w:val="both"/>
      </w:pPr>
      <w:r>
        <w:rPr>
          <w:rFonts w:eastAsia="Times New Roman" w:cs="Times New Roman"/>
        </w:rPr>
        <w:t>Sample geometry</w:t>
      </w:r>
      <w:r>
        <w:rPr>
          <w:rFonts w:eastAsia="Times New Roman" w:cs="Times New Roman"/>
        </w:rPr>
        <w:t xml:space="preserve"> supplies an independent acceptance criterion. The public plate dimensions correspond to a conservative 0.136 T saturation correction. Aligning the long refrigerant dimension with </w:t>
      </w:r>
      <m:oMath>
        <m:r>
          <m:rPr>
            <m:sty m:val="p"/>
          </m:rPr>
          <w:rPr>
            <w:rFonts w:ascii="Cambria Math" w:hAnsi="Cambria Math"/>
          </w:rPr>
          <m:t>c</m:t>
        </m:r>
      </m:oMath>
      <w:r>
        <w:rPr>
          <w:rFonts w:eastAsia="Times New Roman" w:cs="Times New Roman"/>
        </w:rPr>
        <w:t xml:space="preserve"> and requiring </w:t>
      </w:r>
      <m:oMath>
        <m:f>
          <m:fPr>
            <m:ctrlPr>
              <w:rPr>
                <w:rFonts w:ascii="Cambria Math" w:hAnsi="Cambria Math"/>
              </w:rPr>
            </m:ctrlPr>
          </m:fPr>
          <m:num>
            <m:r>
              <m:rPr>
                <m:sty m:val="p"/>
              </m:rPr>
              <w:rPr>
                <w:rFonts w:ascii="Cambria Math" w:hAnsi="Cambria Math"/>
              </w:rPr>
              <m:t>c</m:t>
            </m:r>
          </m:num>
          <m:den>
            <m:r>
              <m:rPr>
                <m:sty m:val="p"/>
              </m:rPr>
              <w:rPr>
                <w:rFonts w:ascii="Cambria Math" w:hAnsi="Cambria Math"/>
              </w:rPr>
              <m:t>a</m:t>
            </m:r>
          </m:den>
        </m:f>
        <m:r>
          <m:rPr>
            <m:sty m:val="p"/>
          </m:rPr>
          <w:rPr>
            <w:rFonts w:ascii="Cambria Math" w:hAnsi="Cambria Math"/>
          </w:rPr>
          <m:t>≥2.72</m:t>
        </m:r>
      </m:oMath>
      <w:r>
        <w:rPr>
          <w:rFonts w:eastAsia="Times New Roman" w:cs="Times New Roman"/>
        </w:rPr>
        <w:t xml:space="preserve"> bounds the spheroidal saturation correction below 0</w:t>
      </w:r>
      <w:r>
        <w:rPr>
          <w:rFonts w:eastAsia="Times New Roman" w:cs="Times New Roman"/>
        </w:rPr>
        <w:t xml:space="preserve">.02 T; </w:t>
      </w:r>
      <m:oMath>
        <m:f>
          <m:fPr>
            <m:ctrlPr>
              <w:rPr>
                <w:rFonts w:ascii="Cambria Math" w:hAnsi="Cambria Math"/>
              </w:rPr>
            </m:ctrlPr>
          </m:fPr>
          <m:num>
            <m:r>
              <m:rPr>
                <m:sty m:val="p"/>
              </m:rPr>
              <w:rPr>
                <w:rFonts w:ascii="Cambria Math" w:hAnsi="Cambria Math"/>
              </w:rPr>
              <m:t>c</m:t>
            </m:r>
          </m:num>
          <m:den>
            <m:r>
              <m:rPr>
                <m:sty m:val="p"/>
              </m:rPr>
              <w:rPr>
                <w:rFonts w:ascii="Cambria Math" w:hAnsi="Cambria Math"/>
              </w:rPr>
              <m:t>a</m:t>
            </m:r>
          </m:den>
        </m:f>
        <m:r>
          <m:rPr>
            <m:sty m:val="p"/>
          </m:rPr>
          <w:rPr>
            <w:rFonts w:ascii="Cambria Math" w:hAnsi="Cambria Math"/>
          </w:rPr>
          <m:t>≥4.68</m:t>
        </m:r>
      </m:oMath>
      <w:r>
        <w:rPr>
          <w:rFonts w:eastAsia="Times New Roman" w:cs="Times New Roman"/>
        </w:rPr>
        <w:t xml:space="preserve"> bounds it below 0.01 T. Exact applied-field conversion for the 1.65 g sample remains unavailable because its dimensions are not public.</w:t>
      </w:r>
    </w:p>
    <w:p w14:paraId="6FF2597B" w14:textId="77777777" w:rsidR="00FE5CF5" w:rsidRDefault="00F3169B">
      <w:pPr>
        <w:jc w:val="both"/>
      </w:pPr>
      <w:r>
        <w:rPr>
          <w:rFonts w:eastAsia="Times New Roman" w:cs="Times New Roman"/>
        </w:rPr>
        <w:t>An external audit of 12 public Gd₂B₂MoO₉ points reproduces directly measured adiabatic temperature chang</w:t>
      </w:r>
      <w:r>
        <w:rPr>
          <w:rFonts w:eastAsia="Times New Roman" w:cs="Times New Roman"/>
        </w:rPr>
        <w:t>es from heat-capacity-derived curves with 13.8 mK mean absolute error. This second-material result validates the equilibrium thermodynamic-processing step while leaving the NBCP-specific microscopic transport and device losses as explicit uncertainties.</w:t>
      </w:r>
    </w:p>
    <w:p w14:paraId="3F5FA5C4" w14:textId="77777777" w:rsidR="00FE5CF5" w:rsidRDefault="00F3169B">
      <w:pPr>
        <w:jc w:val="both"/>
      </w:pPr>
      <w:r>
        <w:rPr>
          <w:rFonts w:eastAsia="Times New Roman" w:cs="Times New Roman"/>
        </w:rPr>
        <w:t>An</w:t>
      </w:r>
      <w:r>
        <w:rPr>
          <w:rFonts w:eastAsia="Times New Roman" w:cs="Times New Roman"/>
        </w:rPr>
        <w:t xml:space="preserve"> independent public-device audit closes the next link. Two YbNi₁.₆Sn warm-up curves calibrate to 15.22 g effective mass and 0.254 microWatt parasitic load, consistent with separate reports of approximately 15 g and less than 0.4 microWatt. The frozen balan</w:t>
      </w:r>
      <w:r>
        <w:rPr>
          <w:rFonts w:eastAsia="Times New Roman" w:cs="Times New Roman"/>
        </w:rPr>
        <w:t>ce predicts the disjoint 0.25–0.28 K interval with 0.592% normalized error. This supports the stage energy identity on an actual device without transferring its package losses to NBCP.</w:t>
      </w:r>
    </w:p>
    <w:p w14:paraId="53672133" w14:textId="77777777" w:rsidR="00FE5CF5" w:rsidRDefault="00F3169B">
      <w:pPr>
        <w:jc w:val="both"/>
      </w:pPr>
      <w:r>
        <w:rPr>
          <w:rFonts w:eastAsia="Times New Roman" w:cs="Times New Roman"/>
        </w:rPr>
        <w:t>The quantum-hardware audit closes a different link. Two complete nine-c</w:t>
      </w:r>
      <w:r>
        <w:rPr>
          <w:rFonts w:eastAsia="Times New Roman" w:cs="Times New Roman"/>
        </w:rPr>
        <w:t>ircuit IBM Kingston jobs recover the negative sign of the six-spin spectral-flow entropy correction, and ZNE reduces absolute bias by 25.8%. The exact magnitude remains outside the reported-error interval, so current hardware is retained as a sign-resolvin</w:t>
      </w:r>
      <w:r>
        <w:rPr>
          <w:rFonts w:eastAsia="Times New Roman" w:cs="Times New Roman"/>
        </w:rPr>
        <w:t>g method benchmark and is not used as a quantitative refrigerator input.</w:t>
      </w:r>
    </w:p>
    <w:p w14:paraId="367188EE" w14:textId="77777777" w:rsidR="00FE5CF5" w:rsidRDefault="00F3169B">
      <w:pPr>
        <w:jc w:val="both"/>
      </w:pPr>
      <w:r>
        <w:rPr>
          <w:rFonts w:eastAsia="Times New Roman" w:cs="Times New Roman"/>
        </w:rPr>
        <w:t xml:space="preserve">The broader design lesson is that microscopic realism and quantum computation should be judged by the decision they change. For frustrated refrigerants, long-range summation and </w:t>
      </w:r>
      <w:r>
        <w:rPr>
          <w:rFonts w:eastAsia="Times New Roman" w:cs="Times New Roman"/>
        </w:rPr>
        <w:t xml:space="preserve">interlayer topology can matter more than the apparent magnitude of a local weak interaction. Classical sensitivity analysis identifies the observable that matters; a complete hardware benchmark then determines whether present QPU accuracy is sufficient to </w:t>
      </w:r>
      <w:r>
        <w:rPr>
          <w:rFonts w:eastAsia="Times New Roman" w:cs="Times New Roman"/>
        </w:rPr>
        <w:t>use it.</w:t>
      </w:r>
    </w:p>
    <w:p w14:paraId="3C9EDF6A" w14:textId="77777777" w:rsidR="00FE5CF5" w:rsidRDefault="00F3169B">
      <w:pPr>
        <w:pStyle w:val="1"/>
      </w:pPr>
      <w:r>
        <w:rPr>
          <w:rFonts w:ascii="Times New Roman" w:eastAsia="Times New Roman" w:hAnsi="Times New Roman" w:cs="Times New Roman"/>
        </w:rPr>
        <w:t>Data and code availability</w:t>
      </w:r>
    </w:p>
    <w:p w14:paraId="35EDADE4" w14:textId="77777777" w:rsidR="00FE5CF5" w:rsidRDefault="00F3169B">
      <w:pPr>
        <w:jc w:val="both"/>
      </w:pPr>
      <w:r>
        <w:rPr>
          <w:rFonts w:eastAsia="Times New Roman" w:cs="Times New Roman"/>
        </w:rPr>
        <w:t>All experimental inputs are public source-data files or public article archives. Raw public files are preserved unchanged with SHA-256 hashes. Derived CSV and JSON files, source code, unit tests, figures, stopping decisio</w:t>
      </w:r>
      <w:r>
        <w:rPr>
          <w:rFonts w:eastAsia="Times New Roman" w:cs="Times New Roman"/>
        </w:rPr>
        <w:t>ns, and a complete file manifest are included in the associated repository. Sanitized QPU records include circuit resources, mitigation settings, usage accounting, the IBM job identifiers, and returned values; account tokens and service identifiers are exc</w:t>
      </w:r>
      <w:r>
        <w:rPr>
          <w:rFonts w:eastAsia="Times New Roman" w:cs="Times New Roman"/>
        </w:rPr>
        <w:t>luded. A versioned GitHub release and Zenodo DOI will be added after author review.</w:t>
      </w:r>
    </w:p>
    <w:p w14:paraId="7A34C922" w14:textId="77777777" w:rsidR="00FE5CF5" w:rsidRDefault="00F3169B">
      <w:pPr>
        <w:pStyle w:val="1"/>
      </w:pPr>
      <w:r>
        <w:rPr>
          <w:rFonts w:ascii="Times New Roman" w:eastAsia="Times New Roman" w:hAnsi="Times New Roman" w:cs="Times New Roman"/>
        </w:rPr>
        <w:t>Author contributions</w:t>
      </w:r>
    </w:p>
    <w:p w14:paraId="56151E3A" w14:textId="77777777" w:rsidR="00FE5CF5" w:rsidRDefault="00F3169B">
      <w:pPr>
        <w:jc w:val="both"/>
      </w:pPr>
      <w:r>
        <w:rPr>
          <w:rFonts w:eastAsia="Times New Roman" w:cs="Times New Roman"/>
        </w:rPr>
        <w:t>Ugwiyeon Lee: Conceptualization, Methodology, Software, Validation, Formal analysis, Investigation, Data curation, Visualization, Writing—original draf</w:t>
      </w:r>
      <w:r>
        <w:rPr>
          <w:rFonts w:eastAsia="Times New Roman" w:cs="Times New Roman"/>
        </w:rPr>
        <w:t>t, Writing—review and editing, Project administration.</w:t>
      </w:r>
    </w:p>
    <w:p w14:paraId="03358119" w14:textId="77777777" w:rsidR="00FE5CF5" w:rsidRDefault="00F3169B">
      <w:pPr>
        <w:jc w:val="both"/>
      </w:pPr>
      <w:r>
        <w:rPr>
          <w:rFonts w:eastAsia="Times New Roman" w:cs="Times New Roman"/>
        </w:rPr>
        <w:t>Seong-Yun Bae: Writing—review and editing.</w:t>
      </w:r>
    </w:p>
    <w:p w14:paraId="36A65062" w14:textId="77777777" w:rsidR="00FE5CF5" w:rsidRDefault="00F3169B">
      <w:pPr>
        <w:jc w:val="both"/>
      </w:pPr>
      <w:r>
        <w:rPr>
          <w:rFonts w:eastAsia="Times New Roman" w:cs="Times New Roman"/>
        </w:rPr>
        <w:t>Hakrae Kim: Writing—review and editing.</w:t>
      </w:r>
    </w:p>
    <w:p w14:paraId="25669134" w14:textId="77777777" w:rsidR="00FE5CF5" w:rsidRDefault="00F3169B">
      <w:pPr>
        <w:jc w:val="both"/>
      </w:pPr>
      <w:r>
        <w:rPr>
          <w:rFonts w:eastAsia="Times New Roman" w:cs="Times New Roman"/>
        </w:rPr>
        <w:t>Jungsu Lee: Writing—review and editing.</w:t>
      </w:r>
    </w:p>
    <w:p w14:paraId="6ADD3AF3" w14:textId="77777777" w:rsidR="00FE5CF5" w:rsidRDefault="00F3169B">
      <w:pPr>
        <w:jc w:val="both"/>
      </w:pPr>
      <w:r>
        <w:rPr>
          <w:rFonts w:eastAsia="Times New Roman" w:cs="Times New Roman"/>
        </w:rPr>
        <w:t>The review-only roles are provisional until each coauthor confirms the manuscr</w:t>
      </w:r>
      <w:r>
        <w:rPr>
          <w:rFonts w:eastAsia="Times New Roman" w:cs="Times New Roman"/>
        </w:rPr>
        <w:t>ipt and contribution statement.</w:t>
      </w:r>
    </w:p>
    <w:p w14:paraId="442B6BEC" w14:textId="77777777" w:rsidR="00FE5CF5" w:rsidRDefault="00F3169B">
      <w:pPr>
        <w:pStyle w:val="1"/>
      </w:pPr>
      <w:r>
        <w:rPr>
          <w:rFonts w:ascii="Times New Roman" w:eastAsia="Times New Roman" w:hAnsi="Times New Roman" w:cs="Times New Roman"/>
        </w:rPr>
        <w:t>Competing interests</w:t>
      </w:r>
    </w:p>
    <w:p w14:paraId="50D80916" w14:textId="77777777" w:rsidR="00FE5CF5" w:rsidRDefault="00F3169B">
      <w:pPr>
        <w:jc w:val="both"/>
      </w:pPr>
      <w:r>
        <w:rPr>
          <w:rFonts w:eastAsia="Times New Roman" w:cs="Times New Roman"/>
        </w:rPr>
        <w:t>The authors declare no competing interests. This statement requires confirmation by all authors before submission.</w:t>
      </w:r>
    </w:p>
    <w:p w14:paraId="0AE16E5B" w14:textId="77777777" w:rsidR="00FE5CF5" w:rsidRDefault="00F3169B">
      <w:pPr>
        <w:pStyle w:val="1"/>
      </w:pPr>
      <w:r>
        <w:rPr>
          <w:rFonts w:ascii="Times New Roman" w:eastAsia="Times New Roman" w:hAnsi="Times New Roman" w:cs="Times New Roman"/>
        </w:rPr>
        <w:t>Acknowledgments</w:t>
      </w:r>
    </w:p>
    <w:p w14:paraId="055358FA" w14:textId="77777777" w:rsidR="00FE5CF5" w:rsidRDefault="00F3169B">
      <w:pPr>
        <w:jc w:val="both"/>
      </w:pPr>
      <w:r>
        <w:rPr>
          <w:rFonts w:eastAsia="Times New Roman" w:cs="Times New Roman"/>
        </w:rPr>
        <w:t>The authors acknowledge the providers of the public experimental source d</w:t>
      </w:r>
      <w:r>
        <w:rPr>
          <w:rFonts w:eastAsia="Times New Roman" w:cs="Times New Roman"/>
        </w:rPr>
        <w:t>ata. No statement here implies endorsement by those providers.</w:t>
      </w:r>
    </w:p>
    <w:p w14:paraId="69891FF9" w14:textId="77777777" w:rsidR="00FE5CF5" w:rsidRDefault="00F3169B">
      <w:pPr>
        <w:pStyle w:val="1"/>
      </w:pPr>
      <w:r>
        <w:rPr>
          <w:rFonts w:ascii="Times New Roman" w:eastAsia="Times New Roman" w:hAnsi="Times New Roman" w:cs="Times New Roman"/>
        </w:rPr>
        <w:t>References</w:t>
      </w:r>
    </w:p>
    <w:p w14:paraId="4C9C734A" w14:textId="77777777" w:rsidR="00FE5CF5" w:rsidRDefault="00F3169B">
      <w:pPr>
        <w:spacing w:after="60"/>
        <w:ind w:left="317" w:hanging="317"/>
      </w:pPr>
      <w:r>
        <w:rPr>
          <w:rFonts w:eastAsia="Times New Roman" w:cs="Times New Roman"/>
          <w:sz w:val="18"/>
        </w:rPr>
        <w:t xml:space="preserve">1. J. Xiang </w:t>
      </w:r>
      <w:r>
        <w:rPr>
          <w:rFonts w:eastAsia="Times New Roman" w:cs="Times New Roman"/>
          <w:i/>
          <w:sz w:val="18"/>
        </w:rPr>
        <w:t>et al.</w:t>
      </w:r>
      <w:r>
        <w:rPr>
          <w:rFonts w:eastAsia="Times New Roman" w:cs="Times New Roman"/>
          <w:sz w:val="18"/>
        </w:rPr>
        <w:t xml:space="preserve">, “Giant magnetocaloric effect in spin supersolid candidate Na₂BaCo(PO₄)₂,” </w:t>
      </w:r>
      <w:r>
        <w:rPr>
          <w:rFonts w:eastAsia="Times New Roman" w:cs="Times New Roman"/>
          <w:i/>
          <w:sz w:val="18"/>
        </w:rPr>
        <w:t>Nature</w:t>
      </w:r>
      <w:r>
        <w:rPr>
          <w:rFonts w:eastAsia="Times New Roman" w:cs="Times New Roman"/>
          <w:sz w:val="18"/>
        </w:rPr>
        <w:t xml:space="preserve"> </w:t>
      </w:r>
      <w:r>
        <w:rPr>
          <w:rFonts w:eastAsia="Times New Roman" w:cs="Times New Roman"/>
          <w:b/>
          <w:sz w:val="18"/>
        </w:rPr>
        <w:t>625</w:t>
      </w:r>
      <w:r>
        <w:rPr>
          <w:rFonts w:eastAsia="Times New Roman" w:cs="Times New Roman"/>
          <w:sz w:val="18"/>
        </w:rPr>
        <w:t>, 270–275 (2024), doi:10.1038/s41586-023-06885-w.</w:t>
      </w:r>
    </w:p>
    <w:p w14:paraId="28FFC3F0" w14:textId="77777777" w:rsidR="00FE5CF5" w:rsidRDefault="00F3169B">
      <w:pPr>
        <w:spacing w:after="60"/>
        <w:ind w:left="317" w:hanging="317"/>
      </w:pPr>
      <w:r>
        <w:rPr>
          <w:rFonts w:eastAsia="Times New Roman" w:cs="Times New Roman"/>
          <w:sz w:val="18"/>
        </w:rPr>
        <w:t xml:space="preserve">2. Y. Gao </w:t>
      </w:r>
      <w:r>
        <w:rPr>
          <w:rFonts w:eastAsia="Times New Roman" w:cs="Times New Roman"/>
          <w:i/>
          <w:sz w:val="18"/>
        </w:rPr>
        <w:t>et al.</w:t>
      </w:r>
      <w:r>
        <w:rPr>
          <w:rFonts w:eastAsia="Times New Roman" w:cs="Times New Roman"/>
          <w:sz w:val="18"/>
        </w:rPr>
        <w:t>, “Spin supe</w:t>
      </w:r>
      <w:r>
        <w:rPr>
          <w:rFonts w:eastAsia="Times New Roman" w:cs="Times New Roman"/>
          <w:sz w:val="18"/>
        </w:rPr>
        <w:t xml:space="preserve">rsolidity in nearly ideal easy-axis triangular quantum antiferromagnet Na₂BaCo(PO₄)₂,” </w:t>
      </w:r>
      <w:r>
        <w:rPr>
          <w:rFonts w:eastAsia="Times New Roman" w:cs="Times New Roman"/>
          <w:i/>
          <w:sz w:val="18"/>
        </w:rPr>
        <w:t>npj Quantum Materials</w:t>
      </w:r>
      <w:r>
        <w:rPr>
          <w:rFonts w:eastAsia="Times New Roman" w:cs="Times New Roman"/>
          <w:sz w:val="18"/>
        </w:rPr>
        <w:t xml:space="preserve"> </w:t>
      </w:r>
      <w:r>
        <w:rPr>
          <w:rFonts w:eastAsia="Times New Roman" w:cs="Times New Roman"/>
          <w:b/>
          <w:sz w:val="18"/>
        </w:rPr>
        <w:t>7</w:t>
      </w:r>
      <w:r>
        <w:rPr>
          <w:rFonts w:eastAsia="Times New Roman" w:cs="Times New Roman"/>
          <w:sz w:val="18"/>
        </w:rPr>
        <w:t xml:space="preserve"> (2022), doi:10.1038/s41535-022-00500-3.</w:t>
      </w:r>
    </w:p>
    <w:p w14:paraId="770C90CC" w14:textId="77777777" w:rsidR="00FE5CF5" w:rsidRDefault="00F3169B">
      <w:pPr>
        <w:spacing w:after="60"/>
        <w:ind w:left="317" w:hanging="317"/>
      </w:pPr>
      <w:r>
        <w:rPr>
          <w:rFonts w:eastAsia="Times New Roman" w:cs="Times New Roman"/>
          <w:sz w:val="18"/>
        </w:rPr>
        <w:t xml:space="preserve">3. J. Sheng </w:t>
      </w:r>
      <w:r>
        <w:rPr>
          <w:rFonts w:eastAsia="Times New Roman" w:cs="Times New Roman"/>
          <w:i/>
          <w:sz w:val="18"/>
        </w:rPr>
        <w:t>et al.</w:t>
      </w:r>
      <w:r>
        <w:rPr>
          <w:rFonts w:eastAsia="Times New Roman" w:cs="Times New Roman"/>
          <w:sz w:val="18"/>
        </w:rPr>
        <w:t>, “Two-dimensional quantum universality in the spin-1/2 triangular-lattice quantum anti</w:t>
      </w:r>
      <w:r>
        <w:rPr>
          <w:rFonts w:eastAsia="Times New Roman" w:cs="Times New Roman"/>
          <w:sz w:val="18"/>
        </w:rPr>
        <w:t xml:space="preserve">ferromagnet Na₂BaCo(PO₄)₂,” </w:t>
      </w:r>
      <w:r>
        <w:rPr>
          <w:rFonts w:eastAsia="Times New Roman" w:cs="Times New Roman"/>
          <w:i/>
          <w:sz w:val="18"/>
        </w:rPr>
        <w:t>PNAS</w:t>
      </w:r>
      <w:r>
        <w:rPr>
          <w:rFonts w:eastAsia="Times New Roman" w:cs="Times New Roman"/>
          <w:sz w:val="18"/>
        </w:rPr>
        <w:t xml:space="preserve"> </w:t>
      </w:r>
      <w:r>
        <w:rPr>
          <w:rFonts w:eastAsia="Times New Roman" w:cs="Times New Roman"/>
          <w:b/>
          <w:sz w:val="18"/>
        </w:rPr>
        <w:t>119</w:t>
      </w:r>
      <w:r>
        <w:rPr>
          <w:rFonts w:eastAsia="Times New Roman" w:cs="Times New Roman"/>
          <w:sz w:val="18"/>
        </w:rPr>
        <w:t>, e2211193119 (2022), doi:10.1073/pnas.2211193119.</w:t>
      </w:r>
    </w:p>
    <w:p w14:paraId="381BCE4E" w14:textId="77777777" w:rsidR="00FE5CF5" w:rsidRDefault="00F3169B">
      <w:pPr>
        <w:spacing w:after="60"/>
        <w:ind w:left="317" w:hanging="317"/>
      </w:pPr>
      <w:r>
        <w:rPr>
          <w:rFonts w:eastAsia="Times New Roman" w:cs="Times New Roman"/>
          <w:sz w:val="18"/>
        </w:rPr>
        <w:t xml:space="preserve">4. D. Flavián </w:t>
      </w:r>
      <w:r>
        <w:rPr>
          <w:rFonts w:eastAsia="Times New Roman" w:cs="Times New Roman"/>
          <w:i/>
          <w:sz w:val="18"/>
        </w:rPr>
        <w:t>et al.</w:t>
      </w:r>
      <w:r>
        <w:rPr>
          <w:rFonts w:eastAsia="Times New Roman" w:cs="Times New Roman"/>
          <w:sz w:val="18"/>
        </w:rPr>
        <w:t xml:space="preserve">, “Field-tuned incommensurate fan phase in an Ising-like triangular antiferromagnet,” arXiv:2607.23173v1 (2026), </w:t>
      </w:r>
      <w:r>
        <w:rPr>
          <w:rFonts w:eastAsia="Times New Roman" w:cs="Times New Roman"/>
          <w:sz w:val="18"/>
        </w:rPr>
        <w:t>doi:10.48550/arXiv.2607.23173.</w:t>
      </w:r>
    </w:p>
    <w:p w14:paraId="1DC66B44" w14:textId="77777777" w:rsidR="00FE5CF5" w:rsidRDefault="00F3169B">
      <w:pPr>
        <w:spacing w:after="60"/>
        <w:ind w:left="317" w:hanging="317"/>
      </w:pPr>
      <w:r>
        <w:rPr>
          <w:rFonts w:eastAsia="Times New Roman" w:cs="Times New Roman"/>
          <w:sz w:val="18"/>
        </w:rPr>
        <w:t xml:space="preserve">5. J. Jaklič and P. Prelovšek, “Lanczos method for the calculation of finite-temperature quantities in correlated systems,” </w:t>
      </w:r>
      <w:r>
        <w:rPr>
          <w:rFonts w:eastAsia="Times New Roman" w:cs="Times New Roman"/>
          <w:i/>
          <w:sz w:val="18"/>
        </w:rPr>
        <w:t>Physical Review B</w:t>
      </w:r>
      <w:r>
        <w:rPr>
          <w:rFonts w:eastAsia="Times New Roman" w:cs="Times New Roman"/>
          <w:sz w:val="18"/>
        </w:rPr>
        <w:t xml:space="preserve"> </w:t>
      </w:r>
      <w:r>
        <w:rPr>
          <w:rFonts w:eastAsia="Times New Roman" w:cs="Times New Roman"/>
          <w:b/>
          <w:sz w:val="18"/>
        </w:rPr>
        <w:t>49</w:t>
      </w:r>
      <w:r>
        <w:rPr>
          <w:rFonts w:eastAsia="Times New Roman" w:cs="Times New Roman"/>
          <w:sz w:val="18"/>
        </w:rPr>
        <w:t>, 5065–5068 (1994), doi:10.1103/PhysRevB.49.5065.</w:t>
      </w:r>
    </w:p>
    <w:p w14:paraId="600DDCE1" w14:textId="77777777" w:rsidR="00FE5CF5" w:rsidRDefault="00F3169B">
      <w:pPr>
        <w:spacing w:after="60"/>
        <w:ind w:left="317" w:hanging="317"/>
      </w:pPr>
      <w:r>
        <w:rPr>
          <w:rFonts w:eastAsia="Times New Roman" w:cs="Times New Roman"/>
          <w:sz w:val="18"/>
        </w:rPr>
        <w:t>6. S. Sugiura and A. Shimizu, “</w:t>
      </w:r>
      <w:r>
        <w:rPr>
          <w:rFonts w:eastAsia="Times New Roman" w:cs="Times New Roman"/>
          <w:sz w:val="18"/>
        </w:rPr>
        <w:t xml:space="preserve">Thermal Pure Quantum States at Finite Temperature,” </w:t>
      </w:r>
      <w:r>
        <w:rPr>
          <w:rFonts w:eastAsia="Times New Roman" w:cs="Times New Roman"/>
          <w:i/>
          <w:sz w:val="18"/>
        </w:rPr>
        <w:t>Physical Review Letters</w:t>
      </w:r>
      <w:r>
        <w:rPr>
          <w:rFonts w:eastAsia="Times New Roman" w:cs="Times New Roman"/>
          <w:sz w:val="18"/>
        </w:rPr>
        <w:t xml:space="preserve"> </w:t>
      </w:r>
      <w:r>
        <w:rPr>
          <w:rFonts w:eastAsia="Times New Roman" w:cs="Times New Roman"/>
          <w:b/>
          <w:sz w:val="18"/>
        </w:rPr>
        <w:t>108</w:t>
      </w:r>
      <w:r>
        <w:rPr>
          <w:rFonts w:eastAsia="Times New Roman" w:cs="Times New Roman"/>
          <w:sz w:val="18"/>
        </w:rPr>
        <w:t>, 240401 (2012), doi:10.1103/PhysRevLett.108.240401.</w:t>
      </w:r>
    </w:p>
    <w:p w14:paraId="0EDF8107" w14:textId="77777777" w:rsidR="00FE5CF5" w:rsidRDefault="00F3169B">
      <w:pPr>
        <w:spacing w:after="60"/>
        <w:ind w:left="317" w:hanging="317"/>
      </w:pPr>
      <w:r>
        <w:rPr>
          <w:rFonts w:eastAsia="Times New Roman" w:cs="Times New Roman"/>
          <w:sz w:val="18"/>
        </w:rPr>
        <w:t>7. P. J. Shirron, “Applications of the magnetocaloric effect in single-stage, multi-stage and continuous adiabatic demagneti</w:t>
      </w:r>
      <w:r>
        <w:rPr>
          <w:rFonts w:eastAsia="Times New Roman" w:cs="Times New Roman"/>
          <w:sz w:val="18"/>
        </w:rPr>
        <w:t xml:space="preserve">zation refrigerators,” </w:t>
      </w:r>
      <w:r>
        <w:rPr>
          <w:rFonts w:eastAsia="Times New Roman" w:cs="Times New Roman"/>
          <w:i/>
          <w:sz w:val="18"/>
        </w:rPr>
        <w:t>Cryogenics</w:t>
      </w:r>
      <w:r>
        <w:rPr>
          <w:rFonts w:eastAsia="Times New Roman" w:cs="Times New Roman"/>
          <w:sz w:val="18"/>
        </w:rPr>
        <w:t xml:space="preserve"> </w:t>
      </w:r>
      <w:r>
        <w:rPr>
          <w:rFonts w:eastAsia="Times New Roman" w:cs="Times New Roman"/>
          <w:b/>
          <w:sz w:val="18"/>
        </w:rPr>
        <w:t>62</w:t>
      </w:r>
      <w:r>
        <w:rPr>
          <w:rFonts w:eastAsia="Times New Roman" w:cs="Times New Roman"/>
          <w:sz w:val="18"/>
        </w:rPr>
        <w:t>, 130–139 (2014), doi:10.1016/j.cryogenics.2014.03.014.</w:t>
      </w:r>
    </w:p>
    <w:p w14:paraId="2F65A27D" w14:textId="77777777" w:rsidR="00FE5CF5" w:rsidRDefault="00F3169B">
      <w:pPr>
        <w:spacing w:after="60"/>
        <w:ind w:left="317" w:hanging="317"/>
      </w:pPr>
      <w:r>
        <w:rPr>
          <w:rFonts w:eastAsia="Times New Roman" w:cs="Times New Roman"/>
          <w:sz w:val="18"/>
        </w:rPr>
        <w:t xml:space="preserve">8. P. J. Shirron, “Optimization strategies for single-stage, multi-stage and continuous ADRs,” </w:t>
      </w:r>
      <w:r>
        <w:rPr>
          <w:rFonts w:eastAsia="Times New Roman" w:cs="Times New Roman"/>
          <w:i/>
          <w:sz w:val="18"/>
        </w:rPr>
        <w:t>Cryogenics</w:t>
      </w:r>
      <w:r>
        <w:rPr>
          <w:rFonts w:eastAsia="Times New Roman" w:cs="Times New Roman"/>
          <w:sz w:val="18"/>
        </w:rPr>
        <w:t xml:space="preserve"> </w:t>
      </w:r>
      <w:r>
        <w:rPr>
          <w:rFonts w:eastAsia="Times New Roman" w:cs="Times New Roman"/>
          <w:b/>
          <w:sz w:val="18"/>
        </w:rPr>
        <w:t>62</w:t>
      </w:r>
      <w:r>
        <w:rPr>
          <w:rFonts w:eastAsia="Times New Roman" w:cs="Times New Roman"/>
          <w:sz w:val="18"/>
        </w:rPr>
        <w:t>, 140–149 (2014), doi:10.1016/j.cryogenics.2014.03.012.</w:t>
      </w:r>
    </w:p>
    <w:p w14:paraId="6917710C" w14:textId="77777777" w:rsidR="00FE5CF5" w:rsidRDefault="00F3169B">
      <w:pPr>
        <w:spacing w:after="60"/>
        <w:ind w:left="317" w:hanging="317"/>
      </w:pPr>
      <w:r>
        <w:rPr>
          <w:rFonts w:eastAsia="Times New Roman" w:cs="Times New Roman"/>
          <w:sz w:val="18"/>
        </w:rPr>
        <w:t xml:space="preserve">9. P. Wikus, E. Canavan, S. T. Heine, K. Matsumoto, and T. Numazawa, “Magnetocaloric materials and the optimization of cooling power density,” </w:t>
      </w:r>
      <w:r>
        <w:rPr>
          <w:rFonts w:eastAsia="Times New Roman" w:cs="Times New Roman"/>
          <w:i/>
          <w:sz w:val="18"/>
        </w:rPr>
        <w:t>Cryogenics</w:t>
      </w:r>
      <w:r>
        <w:rPr>
          <w:rFonts w:eastAsia="Times New Roman" w:cs="Times New Roman"/>
          <w:sz w:val="18"/>
        </w:rPr>
        <w:t xml:space="preserve"> </w:t>
      </w:r>
      <w:r>
        <w:rPr>
          <w:rFonts w:eastAsia="Times New Roman" w:cs="Times New Roman"/>
          <w:b/>
          <w:sz w:val="18"/>
        </w:rPr>
        <w:t>62</w:t>
      </w:r>
      <w:r>
        <w:rPr>
          <w:rFonts w:eastAsia="Times New Roman" w:cs="Times New Roman"/>
          <w:sz w:val="18"/>
        </w:rPr>
        <w:t>, 150–162 (2014), doi:10.1016/j.cryogenics.2014.04.005.</w:t>
      </w:r>
    </w:p>
    <w:p w14:paraId="4358B8D1" w14:textId="77777777" w:rsidR="00FE5CF5" w:rsidRDefault="00F3169B">
      <w:pPr>
        <w:spacing w:after="60"/>
        <w:ind w:left="317" w:hanging="317"/>
      </w:pPr>
      <w:r>
        <w:rPr>
          <w:rFonts w:eastAsia="Times New Roman" w:cs="Times New Roman"/>
          <w:sz w:val="18"/>
        </w:rPr>
        <w:t>10. P. Wikus, G. Burghart, and E. Figueroa-F</w:t>
      </w:r>
      <w:r>
        <w:rPr>
          <w:rFonts w:eastAsia="Times New Roman" w:cs="Times New Roman"/>
          <w:sz w:val="18"/>
        </w:rPr>
        <w:t xml:space="preserve">eliciano, “Optimum operating regimes of common paramagnetic refrigerants,” </w:t>
      </w:r>
      <w:r>
        <w:rPr>
          <w:rFonts w:eastAsia="Times New Roman" w:cs="Times New Roman"/>
          <w:i/>
          <w:sz w:val="18"/>
        </w:rPr>
        <w:t>Cryogenics</w:t>
      </w:r>
      <w:r>
        <w:rPr>
          <w:rFonts w:eastAsia="Times New Roman" w:cs="Times New Roman"/>
          <w:sz w:val="18"/>
        </w:rPr>
        <w:t xml:space="preserve"> </w:t>
      </w:r>
      <w:r>
        <w:rPr>
          <w:rFonts w:eastAsia="Times New Roman" w:cs="Times New Roman"/>
          <w:b/>
          <w:sz w:val="18"/>
        </w:rPr>
        <w:t>51</w:t>
      </w:r>
      <w:r>
        <w:rPr>
          <w:rFonts w:eastAsia="Times New Roman" w:cs="Times New Roman"/>
          <w:sz w:val="18"/>
        </w:rPr>
        <w:t>, 555–558 (2011), doi:10.1016/j.cryogenics.2011.07.001.</w:t>
      </w:r>
    </w:p>
    <w:p w14:paraId="3DB71380" w14:textId="77777777" w:rsidR="00FE5CF5" w:rsidRDefault="00F3169B">
      <w:pPr>
        <w:spacing w:after="60"/>
        <w:ind w:left="317" w:hanging="317"/>
      </w:pPr>
      <w:r>
        <w:rPr>
          <w:rFonts w:eastAsia="Times New Roman" w:cs="Times New Roman"/>
          <w:sz w:val="18"/>
        </w:rPr>
        <w:t xml:space="preserve">11. T. I. Popescu </w:t>
      </w:r>
      <w:r>
        <w:rPr>
          <w:rFonts w:eastAsia="Times New Roman" w:cs="Times New Roman"/>
          <w:i/>
          <w:sz w:val="18"/>
        </w:rPr>
        <w:t>et al.</w:t>
      </w:r>
      <w:r>
        <w:rPr>
          <w:rFonts w:eastAsia="Times New Roman" w:cs="Times New Roman"/>
          <w:sz w:val="18"/>
        </w:rPr>
        <w:t xml:space="preserve">, “Zeeman Split Kramers Doublets in Spin-Supersolid Candidate Na₂BaCo(PO₄)₂,” </w:t>
      </w:r>
      <w:r>
        <w:rPr>
          <w:rFonts w:eastAsia="Times New Roman" w:cs="Times New Roman"/>
          <w:i/>
          <w:sz w:val="18"/>
        </w:rPr>
        <w:t>Physical R</w:t>
      </w:r>
      <w:r>
        <w:rPr>
          <w:rFonts w:eastAsia="Times New Roman" w:cs="Times New Roman"/>
          <w:i/>
          <w:sz w:val="18"/>
        </w:rPr>
        <w:t>eview Letters</w:t>
      </w:r>
      <w:r>
        <w:rPr>
          <w:rFonts w:eastAsia="Times New Roman" w:cs="Times New Roman"/>
          <w:sz w:val="18"/>
        </w:rPr>
        <w:t xml:space="preserve"> </w:t>
      </w:r>
      <w:r>
        <w:rPr>
          <w:rFonts w:eastAsia="Times New Roman" w:cs="Times New Roman"/>
          <w:b/>
          <w:sz w:val="18"/>
        </w:rPr>
        <w:t>134</w:t>
      </w:r>
      <w:r>
        <w:rPr>
          <w:rFonts w:eastAsia="Times New Roman" w:cs="Times New Roman"/>
          <w:sz w:val="18"/>
        </w:rPr>
        <w:t>, 136703 (2025), doi:10.1103/PhysRevLett.134.136703.</w:t>
      </w:r>
    </w:p>
    <w:p w14:paraId="3373ECB8" w14:textId="77777777" w:rsidR="00FE5CF5" w:rsidRDefault="00F3169B">
      <w:pPr>
        <w:spacing w:after="60"/>
        <w:ind w:left="317" w:hanging="317"/>
      </w:pPr>
      <w:r>
        <w:rPr>
          <w:rFonts w:eastAsia="Times New Roman" w:cs="Times New Roman"/>
          <w:sz w:val="18"/>
        </w:rPr>
        <w:t>12. L. Woodland, R. Okuma, J. R. Stewart, C. Balz, and R. Coldea, “From continuum excitations to sharp magnons via transverse magnetic field in the spin-1/2 Ising-like triangular lattice</w:t>
      </w:r>
      <w:r>
        <w:rPr>
          <w:rFonts w:eastAsia="Times New Roman" w:cs="Times New Roman"/>
          <w:sz w:val="18"/>
        </w:rPr>
        <w:t xml:space="preserve"> antiferromagnet Na₂BaCo(PO₄)₂,” </w:t>
      </w:r>
      <w:r>
        <w:rPr>
          <w:rFonts w:eastAsia="Times New Roman" w:cs="Times New Roman"/>
          <w:i/>
          <w:sz w:val="18"/>
        </w:rPr>
        <w:t>Physical Review B</w:t>
      </w:r>
      <w:r>
        <w:rPr>
          <w:rFonts w:eastAsia="Times New Roman" w:cs="Times New Roman"/>
          <w:sz w:val="18"/>
        </w:rPr>
        <w:t xml:space="preserve"> </w:t>
      </w:r>
      <w:r>
        <w:rPr>
          <w:rFonts w:eastAsia="Times New Roman" w:cs="Times New Roman"/>
          <w:b/>
          <w:sz w:val="18"/>
        </w:rPr>
        <w:t>112</w:t>
      </w:r>
      <w:r>
        <w:rPr>
          <w:rFonts w:eastAsia="Times New Roman" w:cs="Times New Roman"/>
          <w:sz w:val="18"/>
        </w:rPr>
        <w:t>, 104413 (2025), doi:10.1103/1pvl-kzjm.</w:t>
      </w:r>
    </w:p>
    <w:p w14:paraId="014D12CF" w14:textId="77777777" w:rsidR="00FE5CF5" w:rsidRDefault="00F3169B">
      <w:pPr>
        <w:spacing w:after="60"/>
        <w:ind w:left="317" w:hanging="317"/>
      </w:pPr>
      <w:r>
        <w:rPr>
          <w:rFonts w:eastAsia="Times New Roman" w:cs="Times New Roman"/>
          <w:sz w:val="18"/>
        </w:rPr>
        <w:t>13. S. W. de Leeuw, J. W. Perram, and E. R. Smith, “Simulation of electrostatic systems in periodic boundary conditions. I. Lattice sums and dielectric constants,</w:t>
      </w:r>
      <w:r>
        <w:rPr>
          <w:rFonts w:eastAsia="Times New Roman" w:cs="Times New Roman"/>
          <w:sz w:val="18"/>
        </w:rPr>
        <w:t xml:space="preserve">” </w:t>
      </w:r>
      <w:r>
        <w:rPr>
          <w:rFonts w:eastAsia="Times New Roman" w:cs="Times New Roman"/>
          <w:i/>
          <w:sz w:val="18"/>
        </w:rPr>
        <w:t>Proceedings of the Royal Society of London A</w:t>
      </w:r>
      <w:r>
        <w:rPr>
          <w:rFonts w:eastAsia="Times New Roman" w:cs="Times New Roman"/>
          <w:sz w:val="18"/>
        </w:rPr>
        <w:t xml:space="preserve"> </w:t>
      </w:r>
      <w:r>
        <w:rPr>
          <w:rFonts w:eastAsia="Times New Roman" w:cs="Times New Roman"/>
          <w:b/>
          <w:sz w:val="18"/>
        </w:rPr>
        <w:t>373</w:t>
      </w:r>
      <w:r>
        <w:rPr>
          <w:rFonts w:eastAsia="Times New Roman" w:cs="Times New Roman"/>
          <w:sz w:val="18"/>
        </w:rPr>
        <w:t>, 27–56 (1980), doi:10.1098/rspa.1980.0135.</w:t>
      </w:r>
    </w:p>
    <w:p w14:paraId="04D73903" w14:textId="77777777" w:rsidR="00FE5CF5" w:rsidRDefault="00F3169B">
      <w:pPr>
        <w:spacing w:after="60"/>
        <w:ind w:left="317" w:hanging="317"/>
      </w:pPr>
      <w:r>
        <w:rPr>
          <w:rFonts w:eastAsia="Times New Roman" w:cs="Times New Roman"/>
          <w:sz w:val="18"/>
        </w:rPr>
        <w:t xml:space="preserve">14. P. Schüßler </w:t>
      </w:r>
      <w:r>
        <w:rPr>
          <w:rFonts w:eastAsia="Times New Roman" w:cs="Times New Roman"/>
          <w:i/>
          <w:sz w:val="18"/>
        </w:rPr>
        <w:t>et al.</w:t>
      </w:r>
      <w:r>
        <w:rPr>
          <w:rFonts w:eastAsia="Times New Roman" w:cs="Times New Roman"/>
          <w:sz w:val="18"/>
        </w:rPr>
        <w:t xml:space="preserve">, “A compact cryogen-free continuous adiabatic demagnetization refrigeration platform for quantum technology applications,” </w:t>
      </w:r>
      <w:r>
        <w:rPr>
          <w:rFonts w:eastAsia="Times New Roman" w:cs="Times New Roman"/>
          <w:i/>
          <w:sz w:val="18"/>
        </w:rPr>
        <w:t>Review of Scientific Instruments</w:t>
      </w:r>
      <w:r>
        <w:rPr>
          <w:rFonts w:eastAsia="Times New Roman" w:cs="Times New Roman"/>
          <w:sz w:val="18"/>
        </w:rPr>
        <w:t xml:space="preserve"> </w:t>
      </w:r>
      <w:r>
        <w:rPr>
          <w:rFonts w:eastAsia="Times New Roman" w:cs="Times New Roman"/>
          <w:b/>
          <w:sz w:val="18"/>
        </w:rPr>
        <w:t>97</w:t>
      </w:r>
      <w:r>
        <w:rPr>
          <w:rFonts w:eastAsia="Times New Roman" w:cs="Times New Roman"/>
          <w:sz w:val="18"/>
        </w:rPr>
        <w:t>, 025214 (2026), doi:10.1063/5.0302131.</w:t>
      </w:r>
    </w:p>
    <w:p w14:paraId="4FB2E934" w14:textId="77777777" w:rsidR="00FE5CF5" w:rsidRDefault="00F3169B">
      <w:pPr>
        <w:spacing w:after="60"/>
        <w:ind w:left="317" w:hanging="317"/>
      </w:pPr>
      <w:r>
        <w:rPr>
          <w:rFonts w:eastAsia="Times New Roman" w:cs="Times New Roman"/>
          <w:sz w:val="18"/>
        </w:rPr>
        <w:t>15. NASA Goddard Space Flight Center, “MSAM/Tophat—Adiaba</w:t>
      </w:r>
      <w:r>
        <w:rPr>
          <w:rFonts w:eastAsia="Times New Roman" w:cs="Times New Roman"/>
          <w:sz w:val="18"/>
        </w:rPr>
        <w:t>tic Demagnetization Refrigerator,” https://lambda.gsfc.nasa.gov/product/suborbit/TOPHAT/topweb.gsfc.nasa.gov/adr.html (accessed 12 October 2026).</w:t>
      </w:r>
    </w:p>
    <w:p w14:paraId="1DA94F4F" w14:textId="77777777" w:rsidR="00FE5CF5" w:rsidRDefault="00F3169B">
      <w:pPr>
        <w:spacing w:after="60"/>
        <w:ind w:left="317" w:hanging="317"/>
      </w:pPr>
      <w:r>
        <w:rPr>
          <w:rFonts w:eastAsia="Times New Roman" w:cs="Times New Roman"/>
          <w:sz w:val="18"/>
        </w:rPr>
        <w:t>16. J. Bartlett, G. Hardy, and I. D. Hepburn, “Performance of a fast response miniature Adiabatic Demagnetisat</w:t>
      </w:r>
      <w:r>
        <w:rPr>
          <w:rFonts w:eastAsia="Times New Roman" w:cs="Times New Roman"/>
          <w:sz w:val="18"/>
        </w:rPr>
        <w:t xml:space="preserve">ion Refrigerator using a single crystal tungsten magnetoresistive heat switch,” </w:t>
      </w:r>
      <w:r>
        <w:rPr>
          <w:rFonts w:eastAsia="Times New Roman" w:cs="Times New Roman"/>
          <w:i/>
          <w:sz w:val="18"/>
        </w:rPr>
        <w:t>Cryogenics</w:t>
      </w:r>
      <w:r>
        <w:rPr>
          <w:rFonts w:eastAsia="Times New Roman" w:cs="Times New Roman"/>
          <w:sz w:val="18"/>
        </w:rPr>
        <w:t xml:space="preserve"> </w:t>
      </w:r>
      <w:r>
        <w:rPr>
          <w:rFonts w:eastAsia="Times New Roman" w:cs="Times New Roman"/>
          <w:b/>
          <w:sz w:val="18"/>
        </w:rPr>
        <w:t>72</w:t>
      </w:r>
      <w:r>
        <w:rPr>
          <w:rFonts w:eastAsia="Times New Roman" w:cs="Times New Roman"/>
          <w:sz w:val="18"/>
        </w:rPr>
        <w:t>, 111–121 (2015), doi:10.1016/j.cryogenics.2015.10.004.</w:t>
      </w:r>
    </w:p>
    <w:p w14:paraId="03545502" w14:textId="77777777" w:rsidR="00FE5CF5" w:rsidRDefault="00F3169B">
      <w:pPr>
        <w:spacing w:after="60"/>
        <w:ind w:left="317" w:hanging="317"/>
      </w:pPr>
      <w:r>
        <w:rPr>
          <w:rFonts w:eastAsia="Times New Roman" w:cs="Times New Roman"/>
          <w:sz w:val="18"/>
        </w:rPr>
        <w:t xml:space="preserve">17. B. Wolf </w:t>
      </w:r>
      <w:r>
        <w:rPr>
          <w:rFonts w:eastAsia="Times New Roman" w:cs="Times New Roman"/>
          <w:i/>
          <w:sz w:val="18"/>
        </w:rPr>
        <w:t>et al.</w:t>
      </w:r>
      <w:r>
        <w:rPr>
          <w:rFonts w:eastAsia="Times New Roman" w:cs="Times New Roman"/>
          <w:sz w:val="18"/>
        </w:rPr>
        <w:t>, “Magnetocaloric effect and magnetic cooling near a field-induced quantum-critical point</w:t>
      </w:r>
      <w:r>
        <w:rPr>
          <w:rFonts w:eastAsia="Times New Roman" w:cs="Times New Roman"/>
          <w:sz w:val="18"/>
        </w:rPr>
        <w:t xml:space="preserve">,” </w:t>
      </w:r>
      <w:r>
        <w:rPr>
          <w:rFonts w:eastAsia="Times New Roman" w:cs="Times New Roman"/>
          <w:i/>
          <w:sz w:val="18"/>
        </w:rPr>
        <w:t>Proceedings of the National Academy of Sciences</w:t>
      </w:r>
      <w:r>
        <w:rPr>
          <w:rFonts w:eastAsia="Times New Roman" w:cs="Times New Roman"/>
          <w:sz w:val="18"/>
        </w:rPr>
        <w:t xml:space="preserve"> </w:t>
      </w:r>
      <w:r>
        <w:rPr>
          <w:rFonts w:eastAsia="Times New Roman" w:cs="Times New Roman"/>
          <w:b/>
          <w:sz w:val="18"/>
        </w:rPr>
        <w:t>108</w:t>
      </w:r>
      <w:r>
        <w:rPr>
          <w:rFonts w:eastAsia="Times New Roman" w:cs="Times New Roman"/>
          <w:sz w:val="18"/>
        </w:rPr>
        <w:t>, 6862–6866 (2011), doi:10.1073/pnas.1017047108.</w:t>
      </w:r>
    </w:p>
    <w:p w14:paraId="554DCFE5" w14:textId="77777777" w:rsidR="00FE5CF5" w:rsidRDefault="00F3169B">
      <w:pPr>
        <w:spacing w:after="60"/>
        <w:ind w:left="317" w:hanging="317"/>
      </w:pPr>
      <w:r>
        <w:rPr>
          <w:rFonts w:eastAsia="Times New Roman" w:cs="Times New Roman"/>
          <w:sz w:val="18"/>
        </w:rPr>
        <w:t xml:space="preserve">18. Y. Zhang </w:t>
      </w:r>
      <w:r>
        <w:rPr>
          <w:rFonts w:eastAsia="Times New Roman" w:cs="Times New Roman"/>
          <w:i/>
          <w:sz w:val="18"/>
        </w:rPr>
        <w:t>et al.</w:t>
      </w:r>
      <w:r>
        <w:rPr>
          <w:rFonts w:eastAsia="Times New Roman" w:cs="Times New Roman"/>
          <w:sz w:val="18"/>
        </w:rPr>
        <w:t xml:space="preserve">, “Refrigeration down to 0.16 K using a frustrated magnet Gd₂B₂MoO₉,” </w:t>
      </w:r>
      <w:r>
        <w:rPr>
          <w:rFonts w:eastAsia="Times New Roman" w:cs="Times New Roman"/>
          <w:i/>
          <w:sz w:val="18"/>
        </w:rPr>
        <w:t>Nature Communications</w:t>
      </w:r>
      <w:r>
        <w:rPr>
          <w:rFonts w:eastAsia="Times New Roman" w:cs="Times New Roman"/>
          <w:sz w:val="18"/>
        </w:rPr>
        <w:t xml:space="preserve"> </w:t>
      </w:r>
      <w:r>
        <w:rPr>
          <w:rFonts w:eastAsia="Times New Roman" w:cs="Times New Roman"/>
          <w:b/>
          <w:sz w:val="18"/>
        </w:rPr>
        <w:t>17</w:t>
      </w:r>
      <w:r>
        <w:rPr>
          <w:rFonts w:eastAsia="Times New Roman" w:cs="Times New Roman"/>
          <w:sz w:val="18"/>
        </w:rPr>
        <w:t>, 1554 (2026), doi:10.1038/s41467-025-68278-z.</w:t>
      </w:r>
    </w:p>
    <w:p w14:paraId="252D5771" w14:textId="77777777" w:rsidR="00FE5CF5" w:rsidRDefault="00F3169B">
      <w:pPr>
        <w:spacing w:after="60"/>
        <w:ind w:left="317" w:hanging="317"/>
      </w:pPr>
      <w:r>
        <w:rPr>
          <w:rFonts w:eastAsia="Times New Roman" w:cs="Times New Roman"/>
          <w:sz w:val="18"/>
        </w:rPr>
        <w:t xml:space="preserve">19. T. Gruner </w:t>
      </w:r>
      <w:r>
        <w:rPr>
          <w:rFonts w:eastAsia="Times New Roman" w:cs="Times New Roman"/>
          <w:i/>
          <w:sz w:val="18"/>
        </w:rPr>
        <w:t>et al.</w:t>
      </w:r>
      <w:r>
        <w:rPr>
          <w:rFonts w:eastAsia="Times New Roman" w:cs="Times New Roman"/>
          <w:sz w:val="18"/>
        </w:rPr>
        <w:t xml:space="preserve">, “Metallic local-moment magnetocalorics as a route to cryogenic refrigeration,” </w:t>
      </w:r>
      <w:r>
        <w:rPr>
          <w:rFonts w:eastAsia="Times New Roman" w:cs="Times New Roman"/>
          <w:i/>
          <w:sz w:val="18"/>
        </w:rPr>
        <w:t>Communications</w:t>
      </w:r>
      <w:r>
        <w:rPr>
          <w:rFonts w:eastAsia="Times New Roman" w:cs="Times New Roman"/>
          <w:i/>
          <w:sz w:val="18"/>
        </w:rPr>
        <w:t xml:space="preserve"> Materials</w:t>
      </w:r>
      <w:r>
        <w:rPr>
          <w:rFonts w:eastAsia="Times New Roman" w:cs="Times New Roman"/>
          <w:sz w:val="18"/>
        </w:rPr>
        <w:t xml:space="preserve"> </w:t>
      </w:r>
      <w:r>
        <w:rPr>
          <w:rFonts w:eastAsia="Times New Roman" w:cs="Times New Roman"/>
          <w:b/>
          <w:sz w:val="18"/>
        </w:rPr>
        <w:t>5</w:t>
      </w:r>
      <w:r>
        <w:rPr>
          <w:rFonts w:eastAsia="Times New Roman" w:cs="Times New Roman"/>
          <w:sz w:val="18"/>
        </w:rPr>
        <w:t>, 63 (2024), doi:10.1038/s43246-024-00494-4; supporting dataset doi:10.17863/CAM.106770.</w:t>
      </w:r>
    </w:p>
    <w:p w14:paraId="57804CF6" w14:textId="77777777" w:rsidR="00FE5CF5" w:rsidRDefault="00F3169B">
      <w:pPr>
        <w:spacing w:after="60"/>
        <w:ind w:left="317" w:hanging="317"/>
      </w:pPr>
      <w:r>
        <w:rPr>
          <w:rFonts w:eastAsia="Times New Roman" w:cs="Times New Roman"/>
          <w:sz w:val="18"/>
        </w:rPr>
        <w:t xml:space="preserve">20. H. Li </w:t>
      </w:r>
      <w:r>
        <w:rPr>
          <w:rFonts w:eastAsia="Times New Roman" w:cs="Times New Roman"/>
          <w:i/>
          <w:sz w:val="18"/>
        </w:rPr>
        <w:t>et al.</w:t>
      </w:r>
      <w:r>
        <w:rPr>
          <w:rFonts w:eastAsia="Times New Roman" w:cs="Times New Roman"/>
          <w:sz w:val="18"/>
        </w:rPr>
        <w:t>, “Possible itinerant excitations and quantum spin state transitions in the effective spin-1/2 triangular-lattice antiferromagnet Na₂BaCo(P</w:t>
      </w:r>
      <w:r>
        <w:rPr>
          <w:rFonts w:eastAsia="Times New Roman" w:cs="Times New Roman"/>
          <w:sz w:val="18"/>
        </w:rPr>
        <w:t xml:space="preserve">O₄)₂,” </w:t>
      </w:r>
      <w:r>
        <w:rPr>
          <w:rFonts w:eastAsia="Times New Roman" w:cs="Times New Roman"/>
          <w:i/>
          <w:sz w:val="18"/>
        </w:rPr>
        <w:t>Nature Communications</w:t>
      </w:r>
      <w:r>
        <w:rPr>
          <w:rFonts w:eastAsia="Times New Roman" w:cs="Times New Roman"/>
          <w:sz w:val="18"/>
        </w:rPr>
        <w:t xml:space="preserve"> </w:t>
      </w:r>
      <w:r>
        <w:rPr>
          <w:rFonts w:eastAsia="Times New Roman" w:cs="Times New Roman"/>
          <w:b/>
          <w:sz w:val="18"/>
        </w:rPr>
        <w:t>11</w:t>
      </w:r>
      <w:r>
        <w:rPr>
          <w:rFonts w:eastAsia="Times New Roman" w:cs="Times New Roman"/>
          <w:sz w:val="18"/>
        </w:rPr>
        <w:t>, 3996 (2020), doi:10.1038/s41467-020-18041-3.</w:t>
      </w:r>
    </w:p>
    <w:p w14:paraId="70155B12" w14:textId="77777777" w:rsidR="00FE5CF5" w:rsidRDefault="00F3169B">
      <w:pPr>
        <w:spacing w:after="60"/>
        <w:ind w:left="317" w:hanging="317"/>
      </w:pPr>
      <w:r>
        <w:rPr>
          <w:rFonts w:eastAsia="Times New Roman" w:cs="Times New Roman"/>
          <w:sz w:val="18"/>
        </w:rPr>
        <w:t>21. S.-N. Sun, M. Motta, R. N. Tazhigulov, A. T. K. Tan, G. K.-L. Chan, and A. J. Minnich, “Quantum computation of finite-temperature static and dynamical properties of spin syst</w:t>
      </w:r>
      <w:r>
        <w:rPr>
          <w:rFonts w:eastAsia="Times New Roman" w:cs="Times New Roman"/>
          <w:sz w:val="18"/>
        </w:rPr>
        <w:t xml:space="preserve">ems using quantum imaginary time evolution,” </w:t>
      </w:r>
      <w:r>
        <w:rPr>
          <w:rFonts w:eastAsia="Times New Roman" w:cs="Times New Roman"/>
          <w:i/>
          <w:sz w:val="18"/>
        </w:rPr>
        <w:t>PRX Quantum</w:t>
      </w:r>
      <w:r>
        <w:rPr>
          <w:rFonts w:eastAsia="Times New Roman" w:cs="Times New Roman"/>
          <w:sz w:val="18"/>
        </w:rPr>
        <w:t xml:space="preserve"> </w:t>
      </w:r>
      <w:r>
        <w:rPr>
          <w:rFonts w:eastAsia="Times New Roman" w:cs="Times New Roman"/>
          <w:b/>
          <w:sz w:val="18"/>
        </w:rPr>
        <w:t>2</w:t>
      </w:r>
      <w:r>
        <w:rPr>
          <w:rFonts w:eastAsia="Times New Roman" w:cs="Times New Roman"/>
          <w:sz w:val="18"/>
        </w:rPr>
        <w:t>, 010317 (2021), doi:10.1103/PRXQuantum.2.010317.</w:t>
      </w:r>
    </w:p>
    <w:p w14:paraId="7E53BC58" w14:textId="77777777" w:rsidR="00FE5CF5" w:rsidRDefault="00F3169B">
      <w:pPr>
        <w:spacing w:after="60"/>
        <w:ind w:left="317" w:hanging="317"/>
      </w:pPr>
      <w:r>
        <w:rPr>
          <w:rFonts w:eastAsia="Times New Roman" w:cs="Times New Roman"/>
          <w:sz w:val="18"/>
        </w:rPr>
        <w:t xml:space="preserve">22. G. Gentinetta, F. Metz, W. Kirby, and G. Carleo, “Quantum finite-temperature Lanczos method,” </w:t>
      </w:r>
      <w:r>
        <w:rPr>
          <w:rFonts w:eastAsia="Times New Roman" w:cs="Times New Roman"/>
          <w:i/>
          <w:sz w:val="18"/>
        </w:rPr>
        <w:t>Physical Review Research</w:t>
      </w:r>
      <w:r>
        <w:rPr>
          <w:rFonts w:eastAsia="Times New Roman" w:cs="Times New Roman"/>
          <w:sz w:val="18"/>
        </w:rPr>
        <w:t xml:space="preserve"> </w:t>
      </w:r>
      <w:r>
        <w:rPr>
          <w:rFonts w:eastAsia="Times New Roman" w:cs="Times New Roman"/>
          <w:b/>
          <w:sz w:val="18"/>
        </w:rPr>
        <w:t>8</w:t>
      </w:r>
      <w:r>
        <w:rPr>
          <w:rFonts w:eastAsia="Times New Roman" w:cs="Times New Roman"/>
          <w:sz w:val="18"/>
        </w:rPr>
        <w:t>, 023285 (2026), doi:10.</w:t>
      </w:r>
      <w:r>
        <w:rPr>
          <w:rFonts w:eastAsia="Times New Roman" w:cs="Times New Roman"/>
          <w:sz w:val="18"/>
        </w:rPr>
        <w:t>1103/f3q5-cm1n.</w:t>
      </w:r>
    </w:p>
    <w:p w14:paraId="6D6D7114" w14:textId="77777777" w:rsidR="00FE5CF5" w:rsidRDefault="00F3169B">
      <w:pPr>
        <w:spacing w:after="60"/>
        <w:ind w:left="317" w:hanging="317"/>
      </w:pPr>
      <w:r>
        <w:rPr>
          <w:rFonts w:eastAsia="Times New Roman" w:cs="Times New Roman"/>
          <w:sz w:val="18"/>
        </w:rPr>
        <w:t>23. IBM Quantum, “Plans overview,” https://quantum.cloud.ibm.com/docs/en/guides/plans-overview (accessed 12 October 2026).</w:t>
      </w:r>
    </w:p>
    <w:p w14:paraId="1A9808E0" w14:textId="77777777" w:rsidR="00FE5CF5" w:rsidRDefault="00F3169B">
      <w:pPr>
        <w:spacing w:after="60"/>
        <w:ind w:left="317" w:hanging="317"/>
      </w:pPr>
      <w:r>
        <w:rPr>
          <w:rFonts w:eastAsia="Times New Roman" w:cs="Times New Roman"/>
          <w:sz w:val="18"/>
        </w:rPr>
        <w:t>24. IBM Quantum, “Error mitigation and suppression techniques,” https://quantum.cloud.ibm.com/docs/en/guides/error-mi</w:t>
      </w:r>
      <w:r>
        <w:rPr>
          <w:rFonts w:eastAsia="Times New Roman" w:cs="Times New Roman"/>
          <w:sz w:val="18"/>
        </w:rPr>
        <w:t>tigation-and-suppression-techniques (accessed 12 October 2026).</w:t>
      </w:r>
    </w:p>
    <w:sectPr w:rsidR="00FE5CF5" w:rsidSect="00034616">
      <w:headerReference w:type="default" r:id="rId19"/>
      <w:footerReference w:type="default" r:id="rId20"/>
      <w:pgSz w:w="12240" w:h="15840"/>
      <w:pgMar w:top="1037" w:right="1181" w:bottom="1008" w:left="1181"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0BA66" w14:textId="77777777" w:rsidR="00000000" w:rsidRDefault="00F3169B">
      <w:pPr>
        <w:spacing w:after="0" w:line="240" w:lineRule="auto"/>
      </w:pPr>
      <w:r>
        <w:separator/>
      </w:r>
    </w:p>
  </w:endnote>
  <w:endnote w:type="continuationSeparator" w:id="0">
    <w:p w14:paraId="72B59558" w14:textId="77777777" w:rsidR="00000000" w:rsidRDefault="00F31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9BD60" w14:textId="77777777" w:rsidR="00FE5CF5" w:rsidRDefault="00F3169B">
    <w:pPr>
      <w:pStyle w:val="a6"/>
      <w:jc w:val="center"/>
    </w:pPr>
    <w:r>
      <w:rPr>
        <w:rFonts w:eastAsia="Times New Roman" w:cs="Times New Roman"/>
        <w:sz w:val="18"/>
      </w:rPr>
      <w:fldChar w:fldCharType="begin"/>
    </w:r>
    <w:r>
      <w:rPr>
        <w:rFonts w:eastAsia="Times New Roman" w:cs="Times New Roman"/>
        <w:sz w:val="18"/>
      </w:rPr>
      <w:instrText xml:space="preserve"> PAGE </w:instrText>
    </w:r>
    <w:r>
      <w:rPr>
        <w:rFonts w:eastAsia="Times New Roman" w:cs="Times New Roman"/>
        <w:sz w:val="18"/>
      </w:rPr>
      <w:fldChar w:fldCharType="separate"/>
    </w:r>
    <w:r>
      <w:rPr>
        <w:rFonts w:eastAsia="Times New Roman" w:cs="Times New Roman"/>
        <w:sz w:val="18"/>
      </w:rPr>
      <w:t>1</w:t>
    </w:r>
    <w:r>
      <w:rPr>
        <w:rFonts w:eastAsia="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396CB" w14:textId="77777777" w:rsidR="00000000" w:rsidRDefault="00F3169B">
      <w:pPr>
        <w:spacing w:after="0" w:line="240" w:lineRule="auto"/>
      </w:pPr>
      <w:r>
        <w:separator/>
      </w:r>
    </w:p>
  </w:footnote>
  <w:footnote w:type="continuationSeparator" w:id="0">
    <w:p w14:paraId="704050CC" w14:textId="77777777" w:rsidR="00000000" w:rsidRDefault="00F31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69571" w14:textId="77777777" w:rsidR="00FE5CF5" w:rsidRDefault="00F3169B">
    <w:pPr>
      <w:pStyle w:val="a5"/>
      <w:jc w:val="center"/>
    </w:pPr>
    <w:r>
      <w:rPr>
        <w:rFonts w:eastAsia="Times New Roman" w:cs="Times New Roman"/>
        <w:color w:val="595959"/>
        <w:sz w:val="17"/>
      </w:rPr>
      <w:t>Research article  |  NBCP magnetic refrigerator stage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F3169B"/>
    <w:rsid w:val="00FC693F"/>
    <w:rsid w:val="00FE5C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C22A57E"/>
  <w14:defaultImageDpi w14:val="300"/>
  <w15:docId w15:val="{555CBAC9-693C-40E8-A2B3-5E5AC96D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10" w:line="259" w:lineRule="auto"/>
    </w:pPr>
    <w:rPr>
      <w:rFonts w:ascii="Times New Roman" w:hAnsi="Times New Roman"/>
      <w:sz w:val="21"/>
    </w:rPr>
  </w:style>
  <w:style w:type="paragraph" w:styleId="1">
    <w:name w:val="heading 1"/>
    <w:basedOn w:val="a1"/>
    <w:next w:val="a1"/>
    <w:link w:val="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140" w:after="60"/>
      <w:outlineLvl w:val="2"/>
    </w:pPr>
    <w:rPr>
      <w:rFonts w:asciiTheme="majorHAnsi" w:eastAsiaTheme="majorEastAsia" w:hAnsiTheme="majorHAnsi" w:cstheme="majorBidi"/>
      <w:b/>
      <w:bCs/>
      <w:color w:val="00000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200" w:line="240" w:lineRule="auto"/>
      <w:contextualSpacing/>
      <w:jc w:val="center"/>
    </w:pPr>
    <w:rPr>
      <w:rFonts w:asciiTheme="majorHAnsi" w:eastAsiaTheme="majorEastAsia" w:hAnsiTheme="majorHAnsi" w:cstheme="majorBidi"/>
      <w:b/>
      <w:color w:val="000000"/>
      <w:spacing w:val="5"/>
      <w:kern w:val="28"/>
      <w:sz w:val="3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keepLines/>
      <w:spacing w:before="40" w:after="140" w:line="240" w:lineRule="auto"/>
    </w:pPr>
    <w:rPr>
      <w:b/>
      <w:bCs/>
      <w:color w:val="000000"/>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11618</Words>
  <Characters>66229</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NBCP magnetic refrigerator stage</dc:title>
  <dc:subject>Cryogenics submission manuscript</dc:subject>
  <dc:creator>Ugwiyeon Lee; Seong-Yun Bae; Hakrae Kim; Jungsu Lee</dc:creator>
  <cp:keywords>magnetic refrigeration, quantum hardware, Na2BaCo(PO4)2, cryogenics</cp:keywords>
  <dc:description>generated by python-docx</dc:description>
  <cp:lastModifiedBy>lyul</cp:lastModifiedBy>
  <cp:revision>2</cp:revision>
  <dcterms:created xsi:type="dcterms:W3CDTF">2013-12-23T23:15:00Z</dcterms:created>
  <dcterms:modified xsi:type="dcterms:W3CDTF">2026-10-12T15:01:00Z</dcterms:modified>
  <cp:category/>
</cp:coreProperties>
</file>