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Resource-aware quantum amplitude estimation for chance-constrained pressure swing adsorption: classical baselines, compiled oracle costs, and a hardware boundary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3"/>
        </w:rPr>
        <w:t>Ugwiyeon Lee</w:t>
      </w:r>
      <w:r>
        <w:rPr>
          <w:rFonts w:ascii="Times New Roman" w:hAnsi="Times New Roman"/>
          <w:b/>
          <w:i w:val="0"/>
          <w:color w:val="000000"/>
          <w:sz w:val="23"/>
          <w:vertAlign w:val="superscript"/>
        </w:rPr>
        <w:t>*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3"/>
        </w:rPr>
        <w:t>Seong-Yun Bae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3"/>
        </w:rPr>
        <w:t>Hakrae Kim</w:t>
      </w:r>
      <w:r>
        <w:rPr>
          <w:rFonts w:ascii="Times New Roman" w:hAnsi="Times New Roman"/>
          <w:b w:val="0"/>
          <w:i w:val="0"/>
          <w:color w:val="000000"/>
          <w:sz w:val="23"/>
        </w:rPr>
        <w:t xml:space="preserve">, </w:t>
      </w:r>
      <w:r>
        <w:rPr>
          <w:rFonts w:ascii="Times New Roman" w:hAnsi="Times New Roman"/>
          <w:b/>
          <w:i w:val="0"/>
          <w:color w:val="000000"/>
          <w:sz w:val="23"/>
        </w:rPr>
        <w:t>Jungsu Lee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000000"/>
          <w:sz w:val="21"/>
        </w:rPr>
        <w:t>Korea Gas Safety Corporation, 1390 Wonjung-ro, Maengdong-myeon, Eumseong-gun, Chungcheongbuk-do 27738, Republic of Korea</w:t>
      </w:r>
    </w:p>
    <w:p>
      <w:pPr>
        <w:spacing w:after="280"/>
      </w:pPr>
      <w:r>
        <w:rPr>
          <w:rFonts w:ascii="Times New Roman" w:hAnsi="Times New Roman"/>
          <w:b/>
          <w:i w:val="0"/>
          <w:color w:val="000000"/>
          <w:sz w:val="21"/>
        </w:rPr>
        <w:t xml:space="preserve">* Corresponding author: </w:t>
      </w:r>
      <w:r>
        <w:rPr>
          <w:rFonts w:ascii="Times New Roman" w:hAnsi="Times New Roman"/>
          <w:b w:val="0"/>
          <w:i w:val="0"/>
          <w:color w:val="000000"/>
          <w:sz w:val="21"/>
        </w:rPr>
        <w:t>Ugwiyeon Lee (lyullee@kgs.or.kr)</w:t>
      </w:r>
    </w:p>
    <w:p>
      <w:pPr>
        <w:spacing w:before="80" w:after="100"/>
      </w:pPr>
      <w:r>
        <w:rPr>
          <w:rFonts w:ascii="Times New Roman" w:hAnsi="Times New Roman"/>
          <w:b/>
          <w:i w:val="0"/>
          <w:color w:val="000000"/>
          <w:sz w:val="25"/>
        </w:rPr>
        <w:t>Author identifiers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1F4E7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ORCID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Email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Ugwiyeon Lee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0009-0008-8976-5363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lyullee@kgs.or.kr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Seong-Yun Bae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0009-0003-8731-428X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seongyun.bae@kgs.or.kr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Hakrae Kim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0009-0002-5048-3568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okhakrae@kgs.or.kr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Jungsu Lee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0009-0006-9347-453X</w:t>
            </w:r>
          </w:p>
        </w:tc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jungsuu00@kgs.or.kr</w:t>
            </w:r>
          </w:p>
        </w:tc>
      </w:tr>
    </w:tbl>
    <w:p>
      <w:pPr>
        <w:spacing w:before="280" w:after="100"/>
      </w:pPr>
      <w:r>
        <w:rPr>
          <w:rFonts w:ascii="Times New Roman" w:hAnsi="Times New Roman"/>
          <w:b/>
          <w:i w:val="0"/>
          <w:color w:val="000000"/>
          <w:sz w:val="25"/>
        </w:rPr>
        <w:t>CRediT authorship contribution statement</w:t>
      </w:r>
    </w:p>
    <w:p>
      <w:pPr>
        <w:spacing w:line="252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0"/>
        </w:rPr>
        <w:t>Ugwiyeon Lee: Conceptualization, Methodology, Software, Formal analysis, Investigation, Data curation, Visualization, Writing - original draft, Writing - review &amp; editing, Project administration. Seong-Yun Bae: Writing - review &amp; editing. Hakrae Kim: Writing - review &amp; editing. Jungsu Lee: Writing - review &amp; editing.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— Resource-aware quantum amplitude estimation for chance-constrained pressure swing adsorption: classical baselines, compiled oracle costs, and a hardware boundary</dc:title>
  <dc:subject>Computers &amp; Chemical Engineering submission title page</dc:subject>
  <dc:creator>Ugwiyeon Lee</dc:creator>
  <cp:keywords>pressure swing adsorption; quantum amplitude estimation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