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7365D"/>
          <w:sz w:val="34"/>
        </w:rPr>
        <w:t>Supplementary Information</w:t>
      </w:r>
    </w:p>
    <w:p>
      <w:pPr>
        <w:spacing w:after="160"/>
        <w:jc w:val="center"/>
      </w:pPr>
      <w:r>
        <w:rPr>
          <w:rFonts w:ascii="Times New Roman" w:hAnsi="Times New Roman"/>
          <w:b/>
          <w:sz w:val="25"/>
        </w:rPr>
        <w:t>Resource-aware quantum amplitude estimation for chance-constrained pressure swing adsorption: classical baselines, compiled oracle costs, and a hardware boundary</w:t>
      </w:r>
    </w:p>
    <w:p>
      <w:pPr>
        <w:spacing w:after="60"/>
        <w:jc w:val="center"/>
      </w:pPr>
      <w:r>
        <w:rPr>
          <w:b/>
          <w:sz w:val="21"/>
        </w:rPr>
        <w:t>Ugwiyeon Lee*, Seong-Yun Bae, Hakrae Kim, Jungsu Lee</w:t>
      </w:r>
    </w:p>
    <w:p>
      <w:pPr>
        <w:spacing w:after="60"/>
        <w:jc w:val="center"/>
      </w:pPr>
      <w:r>
        <w:t>Korea Gas Safety Corporation, 1390 Wonjung-ro, Maengdong-myeon, Eumseong-gun, Chungcheongbuk-do 27738, Republic of Korea</w:t>
      </w:r>
    </w:p>
    <w:p>
      <w:pPr>
        <w:spacing w:after="200"/>
        <w:jc w:val="center"/>
      </w:pPr>
      <w:r>
        <w:rPr>
          <w:i/>
        </w:rPr>
        <w:t>* Corresponding author: Ugwiyeon Lee (lyullee@kgs.or.kr)</w:t>
      </w:r>
    </w:p>
    <w:tbl>
      <w:tblPr>
        <w:tblW w:type="auto" w:w="0"/>
        <w:tblLayout w:type="autofit"/>
        <w:tblLook w:firstColumn="1" w:firstRow="1" w:lastColumn="0" w:lastRow="0" w:noHBand="0" w:noVBand="1" w:val="04A0"/>
      </w:tblPr>
      <w:tblGrid>
        <w:gridCol w:w="9994"/>
      </w:tblGrid>
      <w:tr>
        <w:tc>
          <w:tcPr>
            <w:tcW w:type="dxa" w:w="9994"/>
            <w:shd w:fill="EAF2F8"/>
          </w:tcPr>
          <w:p>
            <w:pPr>
              <w:jc w:val="center"/>
            </w:pPr>
            <w:r>
              <w:rPr>
                <w:b/>
                <w:sz w:val="19"/>
              </w:rPr>
              <w:t>Claim boundary: this supplement reports conditional process-model, estimator, circuit-resource, and hardware evidence. It does not establish quantum advantage or industrial hydrogen validation.</w:t>
            </w:r>
          </w:p>
        </w:tc>
      </w:tr>
    </w:tbl>
    <w:p>
      <w:pPr>
        <w:pStyle w:val="Heading1"/>
      </w:pPr>
      <w:r>
        <w:t>S1. Frozen decision protocol and numerical reference</w:t>
      </w:r>
    </w:p>
    <w:p>
      <w:r>
        <w:t>The outer recycle candidates, joint event, target probability, conditional prior, estimator budgets, endpoints, and prohibited claims are frozen in PSA_QAE_CCE_PRIMARY_CASE_PROTOCOL.json. High-N scrambled-Sobol references are numerical references for the fitted conditional model and are not plant truth.</w:t>
      </w:r>
    </w:p>
    <w:p>
      <w:pPr>
        <w:pStyle w:val="Heading1"/>
      </w:pPr>
      <w:r>
        <w:t>S2. Matched estimator records and decision diagnostics</w:t>
      </w:r>
    </w:p>
    <w:p>
      <w:r>
        <w:t>Complete 200-replication MC, RQMC, IS, and MLAE records, reference-scramble diagnostics, classification error, policy selection, timing labels, importance-sampling ESS, threshold activity, and the product-split/decision-margin audit accompany PSA_QAE_CONTINUOUS_POLICY_SELECTION.json, PSA_QAE_CCE_PRIMARY_THRESHOLD_ACTIVITY.json, and PSA_QAE_CCE_POLICY_DECISION_MARGIN.json. A separate prospective-design audit keeps the frozen candidates unchanged while mapping the p=0.50 crossing and the H2 validation precision required across the observed recycle support.</w:t>
      </w:r>
    </w:p>
    <w:p>
      <w:pPr>
        <w:pStyle w:val="Heading1"/>
      </w:pPr>
      <w:r>
        <w:t>S3. Process evidence and one-cycle calibration bridge</w:t>
      </w:r>
    </w:p>
    <w:p>
      <w:r>
        <w:t>The reduced-H2 phase/equalization ledger, component inventories, mass-balance gates, nested leave-one-run-out phase maps, and one-cycle predictions are stored in PSA_QAE_DIRECT_PHYSICAL_PHASE_LEDGER.json and PSA_QAE_CCE_CALIBRATED_ONE_CYCLE_PHASE_MAP.json. The separate 32-run primary spatial/tank final-cycle ledger in PSA_QAE_CCE_PRIMARY_PHASE_LEDGER.json exposes eight phases, two equalizations, tank withdrawal, and product/recycle splits; its streams replay all source purity/recovery event outputs, with 25/32 joint events and 32/32 CSS-passing runs. The full 100-cycle boundary cache retains 85 physical scalars per boundary. All 32 rows settle, with latest joint physical horizon 68; a 16-bit precision screen gives a conservative 85-cycle horizon. One state uses 1,360 data qubits, while an explicit clean out-of-place current/next layout with ten raw event-stream scalars uses 2,880 before transport workspace. The competitive-Langmuir path screens 25,856 cached cell states and compiles separate clean one-second reciprocal/LDF updates for H2, CO2, CH4, CO, and N2. Individual circuits use 490–515 qubits and 1,118,920–1,965,308 CX; modular sequential accounting retains all current/next loadings at 675 qubits and 6,547,362 additive CX. Product-boundary compilation covers 6,464 valve states and 64 final-cycle product/tank records: the clean five-component valve/flux block uses 288 qubits and 800,762 CX, while fixed-0.420 five-component tank accounting uses 677 qubits and 1,043,990 additive CX. The valve fluxes are also consumed directly in 32,320 product-cell component balances and uncomputed in one 842-qubit, 2,348,388-CX clean circuit. A factor-specialized product-cell follow-on generates the adsorption/desorption terms from the shared product pressure/composition registers and combines them with the valve flux in the same conservative boundary balance. Its component paths use 1,072–1,195 qubits and 10,060,060–26,810,396 CX; the repeated-common-path upper bound is 1,195 peak qubits and 88,388,552 additive CX. Gas-inventory pressure reconstruction uses 152 qubits and 93,764 CX, and an oriented internal-face five-component transfer uses 404 qubits and 1,340,390 CX; modular two-pressure-plus-one-face accounting uses 584 qubits and 1,527,918 additive CX. The supplied-composition three-pressure/two-face/five-balance baseline uses 1,508 qubits and 8,328,622 CX. A support-adaptive 22-bit common-amount/22-bit reciprocal normalizer removes both independent composition inputs; two normalizers, three pressures, two faces, and five balances compile directly to 1,651 qubits, depth 22,143,683, and 14,667,150 CX over 25,856 normalization states and 64,640 balances. Supplied-sign cell-balance accounting uses 609 qubits and 366,802 additive CX. A direct current/next-loading interface extracts sign, converts loading change through solid mass, and composes the balance at 26/26/32/32/30 bits for H2/CO2/CH4/CO/N2; interface accounting uses 934 qubits and 1,411,882 additive CX. Recompiled widened LDF microsteps are then mapped directly into that interface and exactly reversed. The clean component circuits use 861–929 qubits and 3,412,254–4,991,534 CX; five-component sequential accounting uses 1,317 qubits and 19,082,852 additive CX. Five further parameter-specialized paths connect full 20-bit normalized pressure/composition and both generated internal faces to LDF uptake and the same conservative component balance; they use 1,944–2,039 qubits and 20,670,468–35,947,274 CX each, with a conservative common-path-repeating upper bound of 2,039 peak qubits and 128,013,726 additive CX. Direct wiring of the finite-support run/schedule/tank controller into the component paths, frozen-schedule physical unsaturated coverage, and a monolithic five-component transpilation, adaptive integration, routing, and full phase integration remain open. A parameter-only nested-held-out initializer retains 32/32 one-cycle labels, while raw aggregate 50-cycle repetition retains only 2/32 CSS passes. These evidence tiers remain distinct.</w:t>
      </w:r>
    </w:p>
    <w:p>
      <w:r>
        <w:t>A further product-cell composition closes the previously supplied product composition and inward-face inputs. Two encoded five-component gas inventories generate both normalized compositions, both pressures, one oriented inward face, factor-specialized LDF transfer, product-valve withdrawal, loading-sign conversion, and one conservative next-gas balance before exact reversal. The five component paths use 1,803–1,952 qubits, depths 31,377,808–60,835,766, and 20,253,112–37,020,740 CX. The conservative upper bound is 1,952 peak qubits, depth 223,481,789, and 139,413,748 additive CX. All 32,320 frozen-support balances pass the declared precision, erasure, underflow, and overflow gates.</w:t>
      </w:r>
    </w:p>
    <w:p>
      <w:r>
        <w:t>A coherent finite-support controller checks 352 run/parameter table entries, all 8 stage addresses, and 640 run/slot/component tank records. The directly transpiled interface uses 440 logical qubits, depth 324,495, 166,189 CX, and 194,419 u gates with no measurement or reset. It is a ledger-support controller rather than a continuous off-ledger parameter, valve, or tank-demand evaluator.</w:t>
      </w:r>
    </w:p>
    <w:p>
      <w:r>
        <w:t>A second coherent circuit consumes the loaded capacity, affinity, and LDF-factor words in reversible arithmetic. It generates five equilibrium prefactors, five LDF-alpha coefficients, and two paired-bed adsorption flags. The audit checks 320 coefficient records and 16 bed/stage flags; maximum relative errors are 4.987e-05 for equilibrium prefactors and 4.356e-05 for LDF alpha. The directly transpiled interface uses 495 logical qubits, depth 526,434, and 353,441 CX with no measurement or reset. Their direct consumption in component state-update paths is reported in the following tier.</w:t>
      </w:r>
    </w:p>
    <w:p>
      <w:r>
        <w:t>The controller-generated equilibrium and LDF-alpha coefficients are then consumed in five separately compiled, schedule-gated component paths. Each path combines a supplied 20-bit competitive-Langmuir response with q* generation, sign-preserving LDF loading update, solid conversion, and one conservative gas balance. Across 64,640 component-balance records, the maximum q*, LDF-next, and next-gas scale-normalized errors are 4.324e-05, 3.165e-05, and 3.997e-04, with zero quantized-transfer erasure. The paths use 1,297–1,486 logical qubits and 1,855,912–2,807,252 CX; the repeated-controller upper bound is 1,486 peak qubits, depth 12,387,085, and 11,911,052 additive CX. Dynamic affinity-denominator/reciprocal generation from pressure/composition remains open.</w:t>
      </w:r>
    </w:p>
    <w:p>
      <w:r>
        <w:t>The next controller-coupled tier removes the supplied competitive-Langmuir response. Its retained 12-bit run-affinity word and supplied 20-bit pressure/five-component composition generate the affinity-dependent denominator, a global reciprocal lookup, and the component response before direct q*/LDF/loading/balance consumption. The selected 8-bit affinity/12-bit address design uses 4,096 reciprocal segments; denominator p95/max absolute errors are 1.955e-04/3.530e-04. Across 64,640 component balances, the five directly transpiled paths use 1,771–1,960 logical qubits and 41,440,216–42,391,556 CX; the repeated-controller upper bound is 1,960 peak qubits and 209,832,572 additive CX. Gas normalization, face generation, and tank-demand logic are reported separately; monolithic five-component phase/cycle integration remains open.</w:t>
      </w:r>
    </w:p>
    <w:p>
      <w:r>
        <w:t>The highest controller-coupled local tier removes the supplied pressure, composition, and face-flux words. Three raw five-component gas inventories generate two normalized compositions, three pressures, and two oriented faces before the centre state enters the dynamic Langmuir, q*, LDF, loading-sign, and conservative-balance path. Across 25,856 normalization states and 64,640 component balances, the five directly transpiled paths use 2,696–2,885 logical qubits and 55,337,688–56,289,028 CX. The repeated-path upper bound is 2,885 peak qubits, depth 445,738,755, and 279,319,932 additive CX. Separate pressure-derived saturated and proportional tank branches are reported next; monolithic five-component phase/cycle integration, adaptive integration, routing, external H2 validation, and quantum advantage remain open.</w:t>
      </w:r>
    </w:p>
    <w:p>
      <w:r>
        <w:t>The pressure-derived tank follow-on removes the recorded-withdrawal QROM on the frozen saturated branch. Five raw endpoint gas inventories generate source-end pressure and an end-pressure demand lower bound, which is compared reversibly with the five-component tank inventory before saturated withdrawal, componentwise subtraction, and exact workspace reversal. All 128 final-cycle calls retain the saturation label with minimum lower-bound margin 1.624404 mol and p95 aggregate normalized error 2.033e-06. The saturated-only clean circuit uses 557 logical qubits, depth 327,212, and 195,276 CX. A second circuit adds support-adaptive reciprocal lookup and reversible multiplication to select the saturated branch or proportional unsaturated allocation. It preserves 128 observed saturated and 224 bounded-counterfactual unsaturated labels with p95/max component-scale normalized errors 1.687e-04/3.872e-04. The combined clean circuit uses 647 logical qubits, depth 1,127,046, and 705,194 CX. The 224 counterfactual cases are bounded arithmetic tests over observed tank compositions. A separate source-model control keeps the sample-0 recycle fraction, shortens non-adsorption from 10 s to 0.02 s, reaches CSS 9.949e-07, and yields 128/128 unsaturated zero-makeup calls. A start/end-pressure trapezoidal-demand circuit reduces p95 demand error to 0.853%, retains withdrawal/next-tank p95 error 8.320e-06, and compiles to 845 logical qubits, depth 1,634,701, and 1,078,054 CX. This is a short-schedule model control rather than the frozen 10-s policy or plant validation; phase-end state generation inside a monolithic phase remains open.</w:t>
      </w:r>
    </w:p>
    <w:p>
      <w:pPr>
        <w:pStyle w:val="Heading1"/>
      </w:pPr>
      <w:r>
        <w:t>S4. Fixed-point response and calibrated phase-map circuits</w:t>
      </w:r>
    </w:p>
    <w:p>
      <w:r>
        <w:t>This section reports the response-event precision scan, finite truth-table controls, calibrated affine blocks, and coherent module-connection controls. The primary stream bridge compiles 12 adsorption-stream blocks to 272 logical qubits and 2,202,466 clean CX. The modular final event uses 125 qubits and 182,981 clean CX. The integrated policy construction retains 96/96 candidate-policy and 32/32 ledger-support labels at 510 qubits and 1,286,021 clean CX. The parameter-only initializer compiles to 118 qubits and 578,702 forward CX. The competitive-Langmuir construction is extended through clean one-second LDF updates for H2, CO2, CH4, CO, and N2. The five component circuits compile individually to 490–515 qubits and 1,118,920–1,965,308 CX; modular sequential accounting with retained current/next loadings uses 675 qubits and 6,547,362 additive CX. The product-end valve/flux circuit uses 288 qubits and 800,762 CX; it is directly composed with five product-cell balances at 842 qubits, depth 3,285,605, and 2,348,388 CX. Factor-specialized product-cell LDF/valve/balance paths use 1,072–1,195 qubits and 10,060,060–26,810,396 CX per component, with a 1,195-peak-qubit/88,388,552-additive-CX conservative upper bound. Separate five-component product-split/tank-capacity accounting uses 677 qubits and 1,043,990 additive CX. Pressure reconstruction uses 152 qubits and 93,764 CX, and oriented internal-face transfer uses 404 qubits and 1,340,390 CX; modular two-pressure-plus-one-face accounting uses 584 qubits and 1,527,918 additive CX. The supplied-composition direct baseline uses 1,508 qubits and 8,328,622 CX. Generating both upwind compositions from gas inventories and composing the full path uses 1,651 qubits, depth 22,143,683, and 14,667,150 CX; the standalone normalizer uses 333 qubits and 1,340,232 CX. Supplied-sign cell balance uses 609 qubits and 366,802 additive CX. Reversible sign extraction and solid-mass conversion are directly composed with that balance at 934 qubits and 1,411,882 additive CX across five components. Widened LDF outputs are directly composed with this interface at 861–929 qubits and 3,412,254–4,991,534 CX per component; five-component accounting is 1,317 qubits and 19,082,852 additive CX. A finite-support run/schedule/tank controller and a direct run-factor-to-five-component-LDF-coefficient interface are compiled separately. Direct coefficient consumption inside the state-update paths, frozen-schedule physical unsaturated coverage, monolithic five-component transpilation, adaptive integration, state loading, and routing remain open.</w:t>
      </w:r>
    </w:p>
    <w:p>
      <w:pPr>
        <w:pStyle w:val="Heading1"/>
      </w:pPr>
      <w:r>
        <w:t>S5. Correlated state-preparation boundary</w:t>
      </w:r>
    </w:p>
    <w:p>
      <w:r>
        <w:t>One- and two-bit dense empirical-copula loaders are compiled exactly. The seven-bit accuracy tier is a storage/address-space extrapolation, not a synthesized loader. No general lower bound against structured reversible Gaussian/quantile loading is claimed.</w:t>
      </w:r>
    </w:p>
    <w:p>
      <w:pPr>
        <w:pStyle w:val="Heading1"/>
      </w:pPr>
      <w:r>
        <w:t>S6. QPU execution and preflight</w:t>
      </w:r>
    </w:p>
    <w:p>
      <w:r>
        <w:t>The completed three-backend by three-seed IBM campaign contains nine Open-plan jobs and 45 s of recorded QPU charge. Its mean event estimate is 0.599193, the mean absolute error from p=0.625 is 0.025807, and the between-job standard deviation is 0.003747. The crossed-design bootstrap interval [0.595136, 0.602318] describes only the sampled backend/seed design. Raw counts, physical layouts, depths, two-qubit instructions, calibration timestamps, and charges are archived for every job. Ideal-model likelihood intervals are not interpreted as noise-calibrated hardware confidence intervals.</w:t>
      </w:r>
    </w:p>
    <w:p>
      <w:pPr>
        <w:pStyle w:val="Heading1"/>
      </w:pPr>
      <w:r>
        <w:t>S7. External and model-form validity controls</w:t>
      </w:r>
    </w:p>
    <w:p>
      <w:r>
        <w:t>TU Wien H2/CH4 tables provide H2 separation calibration; Thelen VA-10 provides a matched same-chemistry equalization-pressure/recovery direction control; the Otway log provides cross-chemistry hydraulic plausibility; and the public CO2/N2 solver supplies an executable policy-direction control. Applying only the frozen numeric candidate spacings to the Voigt H2 recovery coefficient gives a maximum effect/group-held-out-RMSE ratio of 0.1332 and would require a 37.5-fold RMSE reduction to pass the declared five-times gate; purge/feed is also not product recycle and continuous purity is not identifiable. An audit of the pyAPEP 0.1.8 wrapper supersedes its earlier feed-end pressurisation and adsorption-feed-only recovery calculation. The corrected product-end wrapper includes external high-purity makeup in the recovery denominator and reports tank self-sufficiency. Its three-policy 15-cycle screen is pre-CSS; a separate 450-cycle 0.420 control reaches purity 0.991666, external-boundary recovery 0.044166, tank supply fraction 0.03164, and CSS residual 1.2538e-3, so it fails purity, recovery, tank, and CSS gates and is retained only as a topology-feasibility stress test. The public toPSAil/Yang branch adds an experimentally anchored H2/CO 70/30 two-bed six-step zeolite-5A model with product tank, equalization, purge, valve/pressure/recovery calibration, and published 13/42/36/31-cycle CSS controls. Yang's 99.99% purity passes the frozen purity threshold, but its 75.87% recovery fails the frozen event; purge/feed remains distinct from product-gas recycle and the repository exposes no cycle-result MAT files. These controls are distinct evidence tiers and do not validate the local H2 recycle selection. A structured public-data audit covers ten H2 experiments, pilots, industrial precedents, models, and the cross-chemistry Otway historian. Zero of ten sources jointly provide H2 chemistry, a public synchronized valve/pressure/feed-flow/product-flow/product-composition file, the frozen product-gas-recycle policy, and the frozen purity/recovery event. The Schell H2/CO2 laboratory database is retained as a cyclic experimental anchor, while the Cranfield record exposes only a disclaimer file in the scoped public access. PSA_QAE_CCE_PUBLIC_H2_SYNCHRONIZED_DATA_AUDIT.json records the channel-by-channel admissible role and exclusion reason for every source.</w:t>
      </w:r>
    </w:p>
    <w:p>
      <w:pPr>
        <w:pStyle w:val="Heading1"/>
      </w:pPr>
      <w:r>
        <w:t>S8. Reproducibility and file integrity</w:t>
      </w:r>
    </w:p>
    <w:p>
      <w:r>
        <w:t>Two environment freezes, deterministic local runners, random seeds, transpiler settings, claim audits, and this SHA-256 manifest are included. Reproduction runners do not submit QPU work. The IBM API credential is excluded.</w:t>
      </w:r>
    </w:p>
    <w:p>
      <w:pPr>
        <w:pStyle w:val="Heading1"/>
      </w:pPr>
      <w:r>
        <w:t>S9. Bounded literature-search protocol</w:t>
      </w:r>
    </w:p>
    <w:p>
      <w:r>
        <w:t>The novelty screen was refreshed on 9 October 2026 with four exact and related queries: "pressure swing adsorption" "quantum amplitude estimation"; "pressure swing adsorption" quantum computing optimization; "quantum amplitude estimation" adsorption process; and "quantum amplitude estimation" chemical process optimization. Crossref and OpenAlex were queried through their public APIs, and candidate records were checked at publisher, DOI, repository, or preprint pages. Records were assigned to QAE/risk methods, process-quantum precedents, or classical PSA optimization and simulation. Quantum molecular-sieving papers were excluded because they concern material selectivity rather than gate-based probability estimation. The machine-readable audit retrieved 299 query-result records and 220 unique DOI/title records, with zero records satisfying the explicit PSA-plus-QAE/MLAE metadata rule. The result supports only the phrasing “no direct case was identified in this scoped search”; it does not establish an exhaustive systematic-review or priority claim. Full queries, metadata, classification rule, and claim boundary are archived in PSA_QAE_CCE_NOVELTY_SEARCH_AUDIT.json.</w:t>
      </w:r>
    </w:p>
    <w:p>
      <w:pPr>
        <w:pStyle w:val="Heading1"/>
      </w:pPr>
      <w:r>
        <w:t>Open evidence gates</w:t>
      </w:r>
    </w:p>
    <w:p>
      <w:pPr>
        <w:pStyle w:val="SIBullet"/>
      </w:pPr>
      <w:r>
        <w:t xml:space="preserve">• </w:t>
      </w:r>
      <w:r>
        <w:t>Calibrated same-policy H2 recycle/event validation; the corrected pyAPEP path is a non-CSS topology-feasibility stress test, the Thelen pair is a narrower equalization-direction control, and the toPSAil/Yang branch is a same-chemistry model/experiment anchor with different policy semantics.</w:t>
      </w:r>
    </w:p>
    <w:p>
      <w:pPr>
        <w:pStyle w:val="SIBullet"/>
      </w:pPr>
      <w:r>
        <w:t xml:space="preserve">• </w:t>
      </w:r>
      <w:r>
        <w:t>A completed reversible nonlinear tank/spatial cycle map feeding the policy stream-to-event oracle. The source model settles, its 85-cycle target is quantified, and direct five-component LDF-to-loading-sign-to-cell-balance, gas-normalization-to-two-face-to-interior-cell, parameter-specialized normalized-transport/LDF/interior-balance, supplied-composition product-cell LDF/valve/boundary-balance, gas-inventory-generated product-cell normalization/inward-face/LDF/valve/balance paths, coherent control, pressure-derived saturated/unsaturated tank allocation, and one short-schedule source-model physical unsaturated control are compiled; frozen-schedule physical unsaturated coverage, a monolithic five-component phase/cycle, adaptive phase integration, and remaining workspace are open.</w:t>
      </w:r>
    </w:p>
    <w:p>
      <w:pPr>
        <w:pStyle w:val="SIBullet"/>
      </w:pPr>
      <w:r>
        <w:t xml:space="preserve">• </w:t>
      </w:r>
      <w:r>
        <w:t>A scalable structured correlated loader if an end-to-end speedup claim is pursued.</w:t>
      </w:r>
    </w:p>
    <w:p>
      <w:pPr>
        <w:sectPr>
          <w:headerReference w:type="default" r:id="rId9"/>
          <w:footerReference w:type="default" r:id="rId10"/>
          <w:pgSz w:w="12240" w:h="15840"/>
          <w:pgMar w:top="720" w:right="1123" w:bottom="720" w:left="1123" w:header="432" w:footer="504" w:gutter="0"/>
          <w:cols w:space="720"/>
          <w:docGrid w:linePitch="360"/>
        </w:sectPr>
      </w:pPr>
    </w:p>
    <w:p>
      <w:pPr>
        <w:keepNext/>
        <w:spacing w:after="60"/>
      </w:pPr>
      <w:r>
        <w:rPr>
          <w:rFonts w:ascii="Times New Roman" w:hAnsi="Times New Roman"/>
          <w:b/>
          <w:i w:val="0"/>
          <w:sz w:val="20"/>
        </w:rPr>
        <w:t>Supplementary Table S1. Complete 31-tier quantum-resource evidence ladder</w:t>
      </w:r>
    </w:p>
    <w:tbl>
      <w:tblPr>
        <w:tblW w:type="auto" w:w="0"/>
        <w:jc w:val="center"/>
        <w:tblLayout w:type="fixed"/>
        <w:tblLook w:firstColumn="1" w:firstRow="1" w:lastColumn="0" w:lastRow="0" w:noHBand="0" w:noVBand="1" w:val="04A0"/>
        <w:tblLayout w:type="fixed"/>
      </w:tblPr>
      <w:tblGrid>
        <w:gridCol w:w="1800"/>
        <w:gridCol w:w="1800"/>
        <w:gridCol w:w="1800"/>
        <w:gridCol w:w="1800"/>
        <w:gridCol w:w="1800"/>
        <w:gridCol w:w="1800"/>
        <w:gridCol w:w="1800"/>
        <w:gridCol w:w="1800"/>
      </w:tblGrid>
      <w:tr>
        <w:trPr>
          <w:tblHeader w:val="true"/>
          <w:cantSplit/>
        </w:trPr>
        <w:tc>
          <w:tcPr>
            <w:tcW w:type="dxa" w:w="151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tier</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role</w:t>
            </w:r>
          </w:p>
        </w:tc>
        <w:tc>
          <w:tcPr>
            <w:tcW w:type="dxa" w:w="72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logical_qubits</w:t>
            </w:r>
          </w:p>
        </w:tc>
        <w:tc>
          <w:tcPr>
            <w:tcW w:type="dxa" w:w="122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compiled_basis_or_device</w:t>
            </w:r>
          </w:p>
        </w:tc>
        <w:tc>
          <w:tcPr>
            <w:tcW w:type="dxa" w:w="172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per_call_or_block_resource</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schedule_or_aggregate_resource</w:t>
            </w:r>
          </w:p>
        </w:tc>
        <w:tc>
          <w:tcPr>
            <w:tcW w:type="dxa" w:w="1800"/>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accuracy_or_observation</w:t>
            </w:r>
          </w:p>
        </w:tc>
        <w:tc>
          <w:tcPr>
            <w:tcW w:type="dxa" w:w="316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boundary</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finite-table phase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32-row exact event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252 CX; depth 449</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432,000 CX for frozen 3,500-query schedule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truth table exhaustively verified</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finite enumeration; no continuous prior or cyclic integrator</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small end-to-end structural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state update/equalization/joint-event/phase/uncompute connection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304 CX; depth 405</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coherent compute-phase-uncompute control</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phase labels; all work qubits clean</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three-bit structural integer map; not calibrated kinetics, CSS, or primary H2 event</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fixed-point response-event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active recovery response plane</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99</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35,160 CX; depth 59,012</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52,740,000 CX for 1,500 phase calls</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event disagreement 0.002045</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correlated loader and cyclic PSA evaluator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dense empirical-copula loader (1 bit)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low-resolution state-preparation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9</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502 CX prepare; depth 1,005</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1,004 CX prepare-uncompute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event disagreement 0.154617</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accuracy insufficient</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dense empirical-copula loader (2 bit)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low-resolution state-preparation control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18</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262,125 CX prepare; depth 524,251</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524,250 CX prepare-uncompute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event disagreement 0.098045</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7-bit dense tier would require 63 qubits and a 64-EiB probability table</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calibrated one-cycle affine blocks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 phases x 9 fitted scalar variable terms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186</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worst block 67,829 CX; depth 133,617</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4,183,986 forward CX; 8,367,972 clean CX</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11-bit input / 16-bit output satisfies both p95 budgets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constant/state update, equalization, CSS, event logic, loader and routing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parameter-only CSS initializer blocks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 process parameters to 20 aggregate A/B CSS-state outputs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118</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worst block 32,684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578,702 forward CX; 1,157,404 clean CX</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9-bit input / 14-bit output; 32/32 held-out labels without held dynamic state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fitted CSS-state initializer; constant/state update, physical CSS, tank/profile state, loader and routing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phase-stream event blocks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 adsorption phases x 6 event-active stream outputs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272</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worst block 95,553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1,101,233 forward CX; 2,202,466 clean CX</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12-bit input / 16-bit output; 32/32 held-out labels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conditional on observed phase starts; a collapsed policy-specific stream-to-event oracle is compiled separately; physical CSS, loader and routing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final joint-event arithmetic</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16-bit aggregate feed-H2/product-H2/impurity comparison, joint phase mark, and exact uncompute</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182,981 CX; depth 355,454</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clean compute-phase-uncompute event block</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32/32 labels; 16-bit aggregate registers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standalone aggregate-register interface; the policy-specific upstream connection is compiled separately; physical CSS, loading and routing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policy stream-to-event clean oracle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29 encoded phase-state/parameter variables to three aggregate streams, fixed-policy recycle scaling, joint phase mark, and exact uncompute</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510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1,286,021 CX; depth 2,481,760</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separately compiled clean oracle for each recycle candidate 0.420/0.427/0.430</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19-bit aggregates; 96/96 candidate labels; 32/32 ledger-support labels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starts from encoded observed phase-start states and shared parameters; stable physical/reversible CSS, state preparation, routing/noise and external validation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five-component equilibrium/LDF microsteps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activated-carbon cell, five separately compiled competitive-Langmuir/LDF updates, one second</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675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individual modules 1,118,920–1,965,308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6,547,362 additive CX with sequential workspace reuse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physical cell states; all component precision/overflow/erasure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modular one-cell/one-second accounting; gas transport, pressure, valves, tanks, repeated integration, routing and full phase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product-boundary valve and recycle-tank modules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encoded product-end pressure/composition to five one-second component fluxes, plus separate fixed-policy product split, tank candidates, and capacity flag</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677</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valve 288 q/800,762 CX; scalar split 197 q/172,225 CX; capacity 176 q/182,865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five-component tank accounting 677 q/1,043,990 additive CX; valve-flux module remains separate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valve states and 64 product/tank records; both declared precision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modular product-boundary arithmetic; local pressure/face modules are a separate tier; adsorption coupling, tank withdrawal, adaptive integration, monolithic valve-to-tank composition, routing and full cycle excluded</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product-valve-to-boundary-cell balance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encoded product-end pressure/composition through five valve-flux registers into five conservative next-gas inventories with exact valve-work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842</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five-component clean circuit: 842 q/2,348,388 CX; depth 3,285,605</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single directly transpiled valve-to-boundary-balance circuit; not an additive module estimate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product-end states and 32,320 component balances; all five inventory precision/erasure/overflow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pressure/composition and nonvalve balance terms remain supplied; reversible normalization, valve scheduling, tank withdrawal, adaptive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product-cell LDF/valve/boundary-balance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 encoded product pressure/composition through factor-specialized LDF uptake and product-valve flux into one conservative component balance with exact 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1195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1,072–1,195 q/10,060,060–26,810,396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1,195 peak q/88,388,552 additive CX; monolithic five-component transpilation open</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states; 32,320 balances; p95 3.378e-05–2.127e-04; max ≤4.755e-04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 20-bit pressure/composition high 18 bits feed the valve; factor-specialized component circuits; product composition normalization, inward-face generation, coherent run parameters, tank withdrawal,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gas-inventory-generated product-cell LDF/valve/balance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two five-component gas inventories and one current loading through two normalizers, two pressure reconstructions, one inward face, factor-specialized LDF uptake, product-valve withdrawal, and one conservative next-gas balance with exact 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1952</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1,803–1,952 q/20,253,112–37,020,740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1,952 peak q/139,413,748 additive CX; monolithic five-component transpilation open</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states; 32,320 balances; p95 7.580e-05–2.114e-04; max ≤4.980e-04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frozen-support, factor-specialized component paths; the finite-support run/schedule/tank interface is reported separately, while monolithic five-component transpilation, adaptive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run/schedule/tank interface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five-qubit run address to eleven fixed-point parameter words, six-stage paired-bed valve decoder, and five-component final-cycle tank subtraction</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440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166,189 CX; depth 324,495</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directly transpiled finite-support run/valve/tank interface;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352 parameter values, 8 schedule addresses, and 640 tank component records checked; zero meaningful erasure/underflow/mismatch</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finite 32-run/final-cycle ledger QROM; continuous off-ledger parameter loading, pressure/flow-derived withdrawal, adaptive integration, monolithic five-component phase/cycle, routing and fault tolerance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run-factor/LDF coefficient interface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loaded capacity, affinity, and LDF-factor words through reversible multiplication to five equilibrium prefactors, five LDF coefficients, and paired-bed adsorption flags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495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353,441 CX; depth 526,434</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directly transpiled finite-support controller-to-kinetics coefficient circuit;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320 coefficient records and 16 bed/stage flags checked; equilibrium max relative error 4.987e-05; LDF max relative error 4.356e-05</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finite 32-run coefficient-generation interface; downstream coefficient consumption is reported separately; dynamic pressure/composition denominator and reciprocal, off-ledger tank demand, adaptive integration, monolithic phase/cycle, routing and fault tolerance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coefficient-to-LDF/loading/balance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run-generated equilibrium and LDF coefficients, supplied 20-bit competitive-Langmuir response, adsorption schedule mask, signed loading transfer, and one conservative gas balance for each component</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1486</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1,297–1,486 q/1,855,912–2,807,252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1,486 peak q/11,911,052 additive CX; depth 12,387,085; five separately transpiled paths,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64,640 component balances; q* max ≤4.324e-05; LDF-next max ≤3.165e-05; next-gas max ≤3.997e-04; zero quantized-transfer erasure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controller-generated coefficients are consumed in schedule-gated component state-update paths with a supplied 20-bit Langmuir response; dynamic affinity denominator/reciprocal generation, gas normalization, face generation, off-ledger tank demand, monolithic five-component phase/cycle, routing and fault tolerance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dynamic-Langmuir-to-LDF/loading/balance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run-generated affinity-dependent Langmuir denominator/reciprocal from supplied 20-bit pressure and five compositions, followed by generated q*, schedule-masked LDF uptake, signed loading transfer, and one conservative gas balance per component</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1960</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1,771–1,960 q/41,440,216–42,391,556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1,960 peak q/209,832,572 additive CX; depth 338,501,740; five separately transpiled paths,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64,640 component balances; denominator p95/max 1.955e-04/3.530e-04; q* max ≤2.852e-04; next-gas max ≤3.997e-04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 and five composition words are supplied; gas normalization, face generation, off-ledger tank demand, monolithic five-component phase/cycle, adaptive integration, routing, hardware feasibility, external H2 validation, and quantum advantage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gas-inventory-to-dynamic-Langmuir/transport/LDF/balance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raw five-component gas inventories generate two normalized compositions, three pressures, two oriented faces, a controller-coupled dynamic Langmuir response, schedule-masked LDF uptake, signed loading transfer, and one conservative gas balance per component</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2885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2,696–2,885 q/55,337,688–56,289,028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2,885 peak q/279,319,932 additive CX; depth 445,738,755; five separately transpiled paths, no measurement or reset</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normalization states and 64,640 component balances; q* max ≤2.852e-04; next-gas max ≤3.997e-04</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normalization and orientation are calibrated to the frozen support; negative-flow switching outside that support, continuous off-ledger tank demand, monolithic five-component phase/cycle, adaptive integration, routing, hardware feasibility, external H2 validation, and quantum advantage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pressure-derived saturated tank-withdrawal interface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 raw endpoint gas inventories generate end pressure and a conservative phase-demand proxy, which is compared with five-component tank inventory before clean saturated withdrawal and componentwise subtraction</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557</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557 q/195,276 CX; depth 327,212</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 final-cycle tank calls verified; the recorded-withdrawal QROM is unnecessary on the saturated support branch</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128/128 encoded saturation labels; minimum pressure-bound margin 1.624404 mol; p95 aggregate normalized error 2.033e-06; zero flag mismatch, lower-bound violation, underflow or meaningful erasure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 frozen calls are demand-saturated; unsaturated proportional allocation, phase-end state generation inside a monolithic phase unitary, adaptive integration, routing, external H2 validation, and quantum advantage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pressure-derived saturated/unsaturated proportional tank-allocation interface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 raw endpoint gas inventories generate demand, compare it with tank total, select full-tank withdrawal on saturation or demand-proportional five-component withdrawal otherwise, subtract the selected withdrawal, and exactly reverse all work</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647</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647 q/705,194 CX; depth 1,127,046</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 observed saturated calls plus 224 bounded unsaturated arithmetic cases; 32 reciprocal segments</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 saturated/224 unsaturated labels; withdrawal/next p95 1.687e-04, max 3.872e-04; zero flag mismatch, fraction overflow, underflow, or meaningful erasure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unsaturated coverage is a declared bounded pressure counterfactual over observed tank compositions, not a physical trajectory or plant validation; out-of-domain reciprocal behavior, monolithic five-component phase/cycle generation, adaptive integration, routing, external H2 validation, and quantum advantage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model-derived physical unsaturated tank-trajectory control</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 source-model short-schedule trajectory supplies start/end gas inventories, integrated demand, and five-component tank withdrawals to a clean two-pressure proportional-allocation circuit</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845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845 q/1,078,054 CX; depth 1,634,701</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 replayed tank calls over 32 final cycles; 0.02-s non-adsorption control</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128/128 physical unsaturated and zero-makeup calls; trapezoid-demand p95 relative error 0.853%; withdrawal/next p95 8.320e-06, max 9.241e-06</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 sample-0 recycle fraction but a declared 0.02-s rather than frozen 10-s non-adsorption schedule; one model-derived trajectory, not plant calibration, the frozen-policy trajectory, monolithic phase integration, routing, hardware feasibility, external H2 validation, or quantum advantage</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 reconstruction and oriented internal-face transport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 gas inventories to pressure, then reconstructed pressure difference and supplied upwind composition to five one-second component transfers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584</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 152 q/93,764 CX; face 404 q/1,340,390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two pressure modules plus one face module: 584 q/1,527,918 additive CX</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cell states and 19,392 faces; active-flow p95 relative error 0.00354; all declared pressure/flow/flux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locally oriented physical support; composition normalization and negative-flow switching beyond that support are open; direct two-face accumulation is reported in the next tier, while LDF coupling, adaptive integration, routing and full phase/cycle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pressure-to-two-face-to-interior-cell balance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encoded cell inventories through pressure reconstruction and two five-component internal-face transfers into five conservative centre-cell next-gas inventories with exact transport-work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1508</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five-component clean circuit: 1,508 q/8,328,622 CX; depth 12,250,291</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single directly transpiled 3-pressure/2-face/interior-balance circuit; not an additive module estimate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12,928 interior-cell states and 64,640 component balances; all five propagated inventory and arithmetic-only precision/erasure/overflow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two supplied upwind-composition registers and nonface balance inputs remain; normalization, negative-flow switching outside the cached orientation, direct centre-cell LDF/loading coupling, run-specific parameters, tank withdrawal,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gas-normalization-to-two-face-to-interior-cell balance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encoded cell inventories through two reversible mole-fraction normalizers, three pressure reconstructions, and two internal faces into five conservative centre-cell next-gas inventories with exact 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1651</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five-component clean circuit: 1,651 q/14,667,150 CX; depth 22,143,683; standalone normalizer 333 q/1,340,232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single directly transpiled 2-normalizer/3-pressure/2-face/interior-balance circuit; not an additive module estimate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normalization states and 64,640 component balances; maximum composition p95 absolute error 2.071e-04; all normalization, propagated face, and five inventory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support-adaptive reciprocal thresholds are calibrated to the frozen left/centre-cell domain; nonface balance inputs remain supplied; out-of-support normalization, negative-flow switching, centre-cell LDF/loading coupling, run-specific parameters, tank withdrawal,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LDF-to-loading-sign-to-cell-balance composition</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widened competitive-Langmuir/LDF output joined through loading-sign extraction and solid conversion to conservative next gas</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1317</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clean directly composed modules 861–929 q/3,412,254–4,991,534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five-component direct-composition accounting 1,317 q/19,082,852 additive CX; loading-sign/balance interface alone 934 q/1,411,882 additive CX</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LDF precision states and 64,640 component balances; loading bits 26,26,32,32,30; all widened LDF and downstream interface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LDF arithmetic remains constant-specialized; a direct pressure/face/balance circuit is a separate tier, while joint LDF-plus-face composition, normalization, reversible run-specific parameters, boundary withdrawal, adaptive integration, routing and full phase/cycle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normalized-transport/LDF/interior-balance paths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 gas inventories generate normalized compositions, pressures, two internal faces, and centre-cell LDF uptake before one conservative component balance and exact work reversal</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2039</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all-to-all u/CX</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 directly connected component paths 1,944–2,039 q/20,670,468–35,947,274 CX</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common-path-repeating conservative upper bound 2,039 peak q/128,013,726 additive CX; monolithic five-component transpilation not completed</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12,928 interior states and 64,640 balances; selected p95 next-gas errors 7.346e-05–1.869e-04; all five gates pass</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factor-quantized parameter-specialized paths on frozen support; one coherent scenario-parameter register, monolithic five-component transpilation, out-of-support switching, boundary/tank withdrawal, integration, routing, and full cycle remain open</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IBM finite-oracle preflight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device-target compilation without submission</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ibm_marrakesh target</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m=8: 4,157 CZ; depth 11,437</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no sampler/job/QPU charge</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transpiler seeds agree</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preflight only</w:t>
            </w:r>
          </w:p>
        </w:tc>
      </w:tr>
      <w:tr>
        <w:trPr>
          <w:cantSplit/>
        </w:trPr>
        <w:tc>
          <w:tcPr>
            <w:tcW w:type="dxa" w:w="151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real-QPU three-qubit event</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amplification-noise boundary</w:t>
            </w:r>
          </w:p>
        </w:tc>
        <w:tc>
          <w:tcPr>
            <w:tcW w:type="dxa" w:w="72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w:t>
            </w:r>
          </w:p>
        </w:tc>
        <w:tc>
          <w:tcPr>
            <w:tcW w:type="dxa" w:w="122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ibm_marrakesh</w:t>
            </w:r>
          </w:p>
        </w:tc>
        <w:tc>
          <w:tcPr>
            <w:tcW w:type="dxa" w:w="172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max circuit 39 CZ; depth 141</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 s QPU charge; 0.0829 RU</w:t>
            </w:r>
          </w:p>
        </w:tc>
        <w:tc>
          <w:tcPr>
            <w:tcW w:type="dxa" w:w="1800"/>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p-hat 0.566940; absolute error 0.058060</w:t>
            </w:r>
          </w:p>
        </w:tc>
        <w:tc>
          <w:tcPr>
            <w:tcW w:type="dxa" w:w="316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backend and one job; ideal likelihood interval is not noise calibrated</w:t>
            </w:r>
          </w:p>
        </w:tc>
      </w:tr>
      <w:tr>
        <w:trPr>
          <w:cantSplit/>
        </w:trPr>
        <w:tc>
          <w:tcPr>
            <w:tcW w:type="dxa" w:w="151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real-QPU multi-backend event replication</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crossed backend/transpiler-seed amplification-noise boundary</w:t>
            </w:r>
          </w:p>
        </w:tc>
        <w:tc>
          <w:tcPr>
            <w:tcW w:type="dxa" w:w="72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w:t>
            </w:r>
          </w:p>
        </w:tc>
        <w:tc>
          <w:tcPr>
            <w:tcW w:type="dxa" w:w="122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ibm_marrakesh / ibm_fez / ibm_kingston</w:t>
            </w:r>
          </w:p>
        </w:tc>
        <w:tc>
          <w:tcPr>
            <w:tcW w:type="dxa" w:w="172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9 jobs; m=[0,1,2]; 4,096 shots per circuit</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45 s total QPU charge; between-job SD 0.003747</w:t>
            </w:r>
          </w:p>
        </w:tc>
        <w:tc>
          <w:tcPr>
            <w:tcW w:type="dxa" w:w="1800"/>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mean p-hat 0.599193; mean absolute error 0.025807; crossed bootstrap [0.595136, 0.602318]</w:t>
            </w:r>
          </w:p>
        </w:tc>
        <w:tc>
          <w:tcPr>
            <w:tcW w:type="dxa" w:w="316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observed backends and three transpiler seeds; descriptive sampled-design interval, not a universal hardware confidence interval or end-to-end PSA execution</w:t>
            </w:r>
          </w:p>
        </w:tc>
      </w:tr>
    </w:tbl>
    <w:p>
      <w:pPr>
        <w:sectPr>
          <w:pgSz w:w="15840" w:h="12240" w:orient="landscape"/>
          <w:pgMar w:top="691" w:right="720" w:bottom="691" w:left="720" w:header="360" w:footer="403" w:gutter="0"/>
          <w:cols w:space="720"/>
          <w:docGrid w:linePitch="360"/>
        </w:sectPr>
      </w:pPr>
    </w:p>
    <w:p>
      <w:pPr>
        <w:keepNext/>
        <w:spacing w:after="60"/>
      </w:pPr>
      <w:r>
        <w:rPr>
          <w:rFonts w:ascii="Times New Roman" w:hAnsi="Times New Roman"/>
          <w:b/>
          <w:i w:val="0"/>
          <w:sz w:val="20"/>
        </w:rPr>
        <w:t>Supplementary Table S2. Complete 32-tier process, validation, and hardware evidence hierarchy</w:t>
      </w:r>
    </w:p>
    <w:tbl>
      <w:tblPr>
        <w:tblW w:type="auto" w:w="0"/>
        <w:jc w:val="center"/>
        <w:tblLayout w:type="fixed"/>
        <w:tblLook w:firstColumn="1" w:firstRow="1" w:lastColumn="0" w:lastRow="0" w:noHBand="0" w:noVBand="1" w:val="04A0"/>
        <w:tblLayout w:type="fixed"/>
      </w:tblPr>
      <w:tblGrid>
        <w:gridCol w:w="2400"/>
        <w:gridCol w:w="2400"/>
        <w:gridCol w:w="2400"/>
        <w:gridCol w:w="2400"/>
        <w:gridCol w:w="2400"/>
        <w:gridCol w:w="2400"/>
      </w:tblGrid>
      <w:tr>
        <w:trPr>
          <w:tblHeader w:val="true"/>
          <w:cantSplit/>
        </w:trPr>
        <w:tc>
          <w:tcPr>
            <w:tcW w:type="dxa" w:w="2088"/>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evidence tier</w:t>
            </w:r>
          </w:p>
        </w:tc>
        <w:tc>
          <w:tcPr>
            <w:tcW w:type="dxa" w:w="230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system and size</w:t>
            </w:r>
          </w:p>
        </w:tc>
        <w:tc>
          <w:tcPr>
            <w:tcW w:type="dxa" w:w="1944"/>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independence</w:t>
            </w:r>
          </w:p>
        </w:tc>
        <w:tc>
          <w:tcPr>
            <w:tcW w:type="dxa" w:w="2376"/>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supported role</w:t>
            </w:r>
          </w:p>
        </w:tc>
        <w:tc>
          <w:tcPr>
            <w:tcW w:type="dxa" w:w="2232"/>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key result</w:t>
            </w:r>
          </w:p>
        </w:tc>
        <w:tc>
          <w:tcPr>
            <w:tcW w:type="dxa" w:w="3096"/>
            <w:vAlign w:val="center"/>
            <w:tcBorders>
              <w:top w:val="single" w:sz="8" w:space="0" w:color="777777"/>
              <w:left w:val="nil" w:sz="8" w:space="0" w:color="777777"/>
              <w:bottom w:val="single" w:sz="8" w:space="0" w:color="777777"/>
              <w:right w:val="nil" w:sz="8" w:space="0" w:color="777777"/>
              <w:insideH w:val="nil" w:sz="8" w:space="0" w:color="777777"/>
              <w:insideV w:val="nil" w:sz="8" w:space="0" w:color="777777"/>
            </w:tcBorders>
            <w:tcMar>
              <w:top w:w="18" w:type="dxa"/>
              <w:start w:w="55" w:type="dxa"/>
              <w:bottom w:w="18" w:type="dxa"/>
              <w:end w:w="55" w:type="dxa"/>
            </w:tcMar>
          </w:tcPr>
          <w:p>
            <w:pPr>
              <w:spacing w:after="0"/>
              <w:jc w:val="center"/>
            </w:pPr>
            <w:r>
              <w:rPr>
                <w:rFonts w:ascii="Times New Roman" w:hAnsi="Times New Roman"/>
                <w:b/>
                <w:i w:val="0"/>
                <w:sz w:val="13"/>
              </w:rPr>
              <w:t>explicit boundary</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spatial/tank response model</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H2 PSA; 32 CSS-converged design rows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fitted data</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common prior/event for policy and estimator comparison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reference p=0.92743/0.47044/0.28360; selected policy 0.420</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conditional affine response and empirical copula; not plant validation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physical CSS horizon and register accounting</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frozen two-bed spatial/tank rows; 100 cycles; 85 boundary-state scalars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rerun of the source physical model; no surrogate state transition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tail-stable physical CSS horizon, fixed-point precision target, and explicit out-of-place data-register scale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physical joint horizon 68 cycles; selected 16 bits; safe horizon 85 cycles; out-of-place state/raw-stream accounting 2,880 qubits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architectural data-register accounting, not a universal lower bound; nonlinear reversible transport and workspace are not compiled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five-component competitive-Langmuir/LDF microsteps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cached cell states; separately compiled H2, CO2, CH4, CO, and N2 one-cell/one-second updates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physical-state precision audit and clean Qiskit compute-copy-uncompute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actual nonlinear equilibrium/kinetic microsteps and precision/resource boundary</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individual circuits 490–515 qubits and 1,118,920–1,965,308 CX; sequential workspace-reuse accounting 675 qubits/6,547,362 additive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 AC cell and one-second explicit updates compiled as separate modules; gas transport, pressure evolution, valve/tank logic, adaptive integration, monolithic composition, full phase/cycle, routing, and hardware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product-boundary valve and recycle-tank modules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cached product-end valve states and 64 final-cycle product/recycle/tank records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physical-ledger precision audit and clean Qiskit compute-copy-uncompute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actual outlet-valve/component-flux arithmetic and separate fixed-0.420 product-split/tank-capacity bookkeeping</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valve 288 qubits/800,762 CX; five-component tank accounting 677 qubits/1,043,990 additive CX; minimum capacity headroom 97.40 mol</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valve-flux and integrated product/tank records are separate evidence tiers; pressure/face transport is reported separately; adsorption coupling, tank withdrawal, adaptive integration, monolithic composition, full phase/cycle, routing, loading,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product-valve-to-boundary-cell balance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cached product-end states; 32,320 five-component boundary-balance evaluations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 physical-cache precision propagation and one clean Qiskit direct composition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register-level connection from encoded product pressure/composition through valve component fluxes to conservative product-cell next gas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842 qubits/2,348,388 CX; depth 3,285,605; all five component precision gates pass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pressure/composition and nonvalve terms remain supplied; normalization, valve scheduling, tank withdrawal, adaptive integration, full phase/cycle, routing,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product-cell LDF/valve/boundary-balance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cached product-end states; 32,320 component balances across 32 factor-specialized source rows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frozen-cache precision propagation and direct clean Qiskit componentwise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shared-register connection from product pressure/composition through LDF loading transfer and valve flux to conservative product-cell next gas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component paths 1,072–1,195 qubits and 10,060,060–26,810,396 CX; conservative upper 1,195 peak qubits/88,388,552 additive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 20-bit pressure/composition high 18 bits feed the valve; product composition normalization, inward-face generation, coherent run parameters, monolithic five-component transpilation, valve scheduling, tank withdrawal, adaptive integration, routing,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gas-inventory-generated product-cell LDF/valve/balance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6,464 cached product-end states; 32,320 component balances; two encoded gas inventories per state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 physical-cache precision propagation and five clean factor-specialized componentwise Qiskit compilations</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register-level product path from gas inventories through composition normalization, pressure reconstruction, inward-face generation, LDF uptake, valve withdrawal, loading conversion, and one conservative next-gas balance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1,803–1,952 qubits/20,253,112–37,020,740 CX; 1,952 peak qubits/139,413,748 additive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frozen-support factor-specialized component paths; the finite-support run/schedule/tank interface is a separate tier; monolithic five-component transpilation, adaptive integration, routing,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run/schedule/tank interface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frozen run addresses; 11 run parameters; six paired-bed schedule stages; four final-cycle tank calls; five components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encoding of the primary ledger support and clean Qiskit lookup/subtraction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finite-support run-parameter loading, local valve-mask scheduling, and recorded componentwise tank withdrawal</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440 qubits/166,189 CX; depth 324,495; parameter p95/max normalized errors 1.134e-04/1.217e-04; zero meaningful tank erasure, underflow, or next-state mismatch</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finite 32-run/final-cycle ledger QROM rather than a continuous off-ledger evaluator; state-dependent pressure/flow withdrawal, adaptive integration, monolithic five-component phase/cycle, routing, and fault tolerance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run-factor/LDF coefficient interface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frozen run addresses; 11 loaded run parameters; five equilibrium prefactors; five LDF coefficients; six paired-bed schedule stages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reversible use of loaded capacity, affinity, and LDF-factor words with clean Qiskit multiplication and weighted arithmetic</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controller-to-kinetics coefficient connection plus paired-bed adsorption-stage flags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495 qubits/353,441 CX; depth 526,434; equilibrium p95/max relative errors 2.301e-05/4.987e-05; LDF p95/max 2.698e-05/4.356e-05</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this tier generates coefficient registers only; downstream schedule-gated loading/balance consumption is reported separately, while dynamic pressure/composition denominator/reciprocal construction, off-ledger tank demand, adaptive integration, monolithic phase/cycle, routing, and fault tolerance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coefficient-to-LDF/loading/balance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run addresses; six paired-bed stages; five separately compiled component paths; 64,640 component-balance records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reversible composition of the finite-support controller, generated coefficient registers, supplied 20-bit Langmuir response, sign-preserving LDF update, solid conversion, and conservative component balance</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consumption of controller-generated equilibrium/LDF coefficients in schedule-gated component state updates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1,297–1,486 qubits/1,855,912–2,807,252 CX; five-path upper bound 1,486 peak qubits/11,911,052 additive CX/depth 12,387,085; q* max ≤4.324e-05; next-gas max ≤3.997e-04; zero quantized-transfer erasure</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the 20-bit competitive-Langmuir response is supplied; dynamic affinity-dependent denominator/reciprocal construction, gas normalization, face generation, off-ledger tank demand, monolithic five-component phase/cycle, adaptive integration, routing, hardware feasibility, external H2 validation, and quantum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dynamic-Langmuir-to-LDF/loading/balance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run addresses; six paired-bed stages; five separately compiled component paths; 64,640 component-balance records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reversible composition of the finite-support controller, supplied 20-bit pressure/five-component composition, dynamically generated affinity-dependent denominator/reciprocal, generated response, q*, sign-preserving LDF update, solid conversion, and conservative component balance</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controller-coupled competitive-Langmuir response generation and direct consumption in schedule-gated component state updates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1,771–1,960 qubits/41,440,216–42,391,556 CX; five-path upper bound 1,960 peak qubits/209,832,572 additive CX/depth 338,501,740; denominator p95/max 1.955e-04/3.530e-04; q* max ≤2.852e-04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20-bit pressure and five composition words are supplied; gas normalization, face generation, off-ledger tank demand, monolithic five-component phase/cycle, adaptive integration, routing, hardware feasibility, external H2 validation, and quantum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coherent gas-inventory-to-dynamic-Langmuir/transport/LDF/balance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run addresses; six paired-bed stages; three five-component gas inventories; five separately compiled component paths; 25,856 normalization states; 64,640 component-balance records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reversible composition from encoded gas inventories and finite-support control through normalization, pressure reconstruction, two oriented faces, dynamic affinity-dependent denominator/reciprocal, q*, sign-preserving LDF update, solid conversion, and conservative component balance</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controller-coupled gas-inventory-to-state-update path without supplied pressure, composition, or face-flux words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2,696–2,885 qubits/55,337,688–56,289,028 CX; five-path upper bound 2,885 peak qubits/279,319,932 additive CX/depth 445,738,755; next-gas max ≤3.997e-04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support-adaptive normalization and oriented flow are calibrated to the frozen domain; negative-flow switching outside support, continuous off-ledger tank demand, monolithic five-component phase/cycle, adaptive integration, routing, hardware feasibility, external H2 validation, and quantum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pressure-derived saturated tank-withdrawal interface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32 runs; four tank-sourced calls per final cycle; 128 endpoint-pressure/tank records; five gas and five tank component inventories per record</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cycle-100 replay from the cached 85-scalar physical boundary, raw endpoint-gas pressure reconstruction, reversible demand/tank comparison, and clean Qiskit compute-copy-uncompute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replaces the recorded-withdrawal lookup on the frozen demand-saturated branch with pressure-derived saturation logic and componentwise tank subtraction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557 qubits/195,276 CX/depth 327,212; 128/128 saturation labels; minimum lower-bound margin 1.624404 mol; p95 aggregate normalized error 2.033e-06</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every frozen call is saturated; unsaturated proportional allocation, trajectory-wide proof outside support, phase-end endpoint-gas generation inside a monolithic phase unitary, adaptive integration, routing, external H2 validation, and quantum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pressure-derived saturated/unsaturated proportional tank-allocation interface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128 observed frozen final-cycle calls plus 224 bounded pressure-counterfactual arithmetic cases over 32 nonzero observed tank compositions and seven demand fractions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observed saturated branch plus explicitly labelled counterfactual unsaturated arithmetic-domain coverage; direct pressure reconstruction, demand/tank comparison, support-adaptive reciprocal, reversible multipliers, branch selection, subtraction, and clean uncomputation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closes the missing five-component proportional-allocation arithmetic branch while preserving the empirical boundary between observed and counterfactual cases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647 qubits/705,194 CX/depth 1,127,046; 128 saturated/224 unsaturated labels; withdrawal/next p95 1.687e-04, max 3.872e-04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the unsaturated cases are bounded pressure counterfactuals over observed tank compositions, not physically generated phase trajectories or plant validation; out-of-domain reciprocal behavior, monolithic five-component phase/cycle generation, adaptive integration, routing, external H2 validation, and quantum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model-derived physical unsaturated tank-trajectory control</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sample 0 at recycle 0.419749; 500 cycles; 128 replayed tank calls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source spatial/tank ODE integration under a declared 0.02-s non-adsorption schedule, exact phase replay, and clean start/end-pressure trapezoidal-demand circuit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replaces bounded arithmetic-only unsaturated cases with one physically generated tank-sufficient trajectory and quantifies the extra two-pressure reversible cost</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845 qubits/1,078,054 CX/depth 1,634,701; 128/128 unsaturated and zero-makeup calls; CSS 9.949e-07; trapezoid-demand p95 relative error 0.853%; withdrawal/next p95 8.320e-06</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 recycle fraction but a short-schedule model counterfactual, not the frozen 10-s policy, the other 31 uncertainty rows, plant calibration, industrial H2 validation, monolithic phase integration, routing, hardware feasibility, or quantum advantage</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 reconstruction and oriented internal-face transport</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cached cell states and 19,392 locally oriented internal faces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source-state precision audit and clean Qiskit compute-copy-uncompute compilation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gas-inventory pressure reconstruction and pressure-driven five-component transfer across one internal face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pressure 152 qubits/93,764 CX; face 404 qubits/1,340,390 CX; modular 2-pressure+1-face accounting 584 qubits/1,527,918 additive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orientation is restricted to the cached nonnegative local coordinate; direct two-face accumulation is reported in a separate tier, while reversible composition normalization, LDF coupling, adaptive integration, routing, and a complete phase/cycle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pressure-to-two-face-to-interior-cell balance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12,928 cached interior-cell states and 64,640 five-component balance evaluations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 physical-cache error propagation and one clean Qiskit direct composition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register-level connection from three cells' gas inventories through reconstructed pressures and two internal faces to conservative centre-cell next gas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1,508 qubits/8,328,622 CX; depth 12,250,291; all five propagated inventory and arithmetic-only precision gates pass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two upwind compositions and nonface terms remain supplied; normalization, negative-flow switching outside cached orientation, direct centre-cell LDF/loading coupling, run-specific parameters, tank withdrawal, integration, routing,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gas-normalization-to-two-face-to-interior-cell balance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cached left/centre normalization states; 12,928 interior-cell states; 64,640 five-component balance evaluations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 physical-cache precision propagation and one clean Qiskit direct composition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register-level connection from encoded component inventories through generated mole fractions, reconstructed pressures, two internal faces, and conservative centre-cell next gas</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1,651 qubits/14,667,150 CX; depth 22,143,683; standalone normalizer 333 qubits/1,340,232 CX; maximum composition p95 absolute error 2.071e-04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support-adaptive reciprocal segmentation is calibrated to the frozen left/centre-cell domain; nonface terms remain supplied; out-of-support normalization, negative-flow switching, centre-cell LDF/loading coupling, run-specific parameters, tank withdrawal, integration, routing, and fault tolerance excluded</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LDF-to-loading-sign-to-cell-balance composition</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cached LDF precision states and 64,640 interior-cell component balances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separate physical-cache precision gates, exhaustive three-bit sign control, and direct clean Qiskit register composition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widened one-second LDF output, loading sign/solid conversion, conservative next-gas accumulation, and exact reverse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loading bits 26/26/32/32/30; directly composed circuits 861–929 qubits and 3,412,254–4,991,534 CX; five-component accounting 1,317 qubits/19,082,852 additive CX; interface alone 934 qubits/1,411,882 additive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LDF arithmetic is constant-specialized; direct pressure/face/balance composition is a separate tier, while joint LDF-plus-face composition, reversible normalization and run-specific parameters, boundary cells, adaptive integration, routing, and complete phase/cycle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direct normalized-transport/LDF/interior-balance paths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25,856 normalization states; 12,928 interior-cell states; 64,640 component balances; 32 factor-specialized rows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frozen-cache precision propagation and five separately transpiled direct register compositions</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shared encoded gas inventories through normalization, pressure, two internal faces, competitive-Langmuir/LDF uptake, sign/solid conversion, conservative next gas, and exact work reversal</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20-bit LDF pressure/composition inputs; selected loading bits 26/26/38/36/36; component paths 1,944–2,039 qubits and 20,670,468–35,947,274 CX; common-path-repeating upper bound 128,013,726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parameter-specialized on frozen support; monolithic five-component transpilation and a coherent run-parameter register remain open, as do negative-flow switching outside support, boundary/tank withdrawal, integration, routing, and fault tolerance</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phase-stream event bridge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 32 spatial/tank runs; 8 phases and 2 equalizations per final cycle</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outer run held out; conditioned on its observed phase-start states</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process-stream observability and event-active reversible resource interface</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event labels 32/32; purity/recovery MAE 3.79e-08/7.27e-05; final event 125 qubits/182,981 clean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conditional on observed phase starts; the integrated policy-specific arithmetic is reported separately; free-running physical CSS, loading, and external validation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primary policy stream-to-event clean oracle</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 calibrated adsorption maps; 32 phase-state points x 3 fixed recycle candidates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arithmetic validation against full-fit maps and original 32-run ledger support; not external data</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reversible connection from encoded phase starts and shared parameters through stream aggregation, recycle scaling, event phase mark, and exact uncomputation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19-bit aggregates; candidate labels 96/96; ledger-support labels 32/32; max clean oracle 510 qubits/1,286,021 CX</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phase starts remain supplied rather than generated by stable physical/reversible CSS; loading, routing/noise, external validation, and advantage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parameter-only CSS initializer and cycle screen</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 32 spatial/tank runs; 11 parameters to 20 aggregate CSS-state coordinates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outer run held out; no held dynamic state supplied</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surrogate-conditioned CSS initialization and one-cycle event connection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one-cycle labels 32/32; recovery MAE 3.22e-04; unanchored 50-cycle terminal labels 28/32; spectrally stabilized terminal labels 32/32</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unanchored/stabilized 50-cycle CSS gates 2/32 and 32/32; stabilization is an explicit aggregate-model correction, so tank/profile and physical CSS remain open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reduced-H2 phase ledger and calibrated maps</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20 runs; 160 phases; 40 equalizations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separate reduced-model tier; held out by run</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one-cycle state-transition bridge and primitive-gate resource layer</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cycle median/p95 L1=0.00149/0.00317; 186-qubit affine block</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equalization remains classical; repeated CSS and primary event are not reversible</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TU Wien H2/CH4 literature data</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H2/CH4 PSA; 13 recovery runs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published table-level data</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valve sensitivity, tank geometry, breakthrough, product/recovery calibration</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group-held-out recovery RMSE 5.85 percentage points; widest frozen-spacing effect/RMSE 0.133</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purge/feed is not product recycle; continuous purity and frozen selection are not identifiable</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Otway one-second log</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CO2 PSA; 82,681 rows; 7 complete cycles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cross-chemistry log</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valve/pressure/flow synchronization and held-out hydraulic plausibility</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mean holdout MAE reduction vs persistence 0.935</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does not validate H2 separation chemistry, purity, or recycle policy</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public dynamic CO2/N2 model</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two-bed PSA; 4 scenarios x 3 policies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executable chemistry analog</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policy-direction and numerical-resolution control</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purity direction 4/4; recovery direction 3/4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policy signal below quadrature shift; external selection 0.430 does not reproduce 0.420</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Thelen VA-10 matched H2 pair</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automated four-column H2 PSA; 2 matched operating points; 2 recovery methods</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public same-chemistry experiment</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equalization-pressure/recovery direction control</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4.50-&gt;4.75 bara: recovery delta -2.30/-1.31 percentage points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different control from recycle; both purities below 99.98%; no same-event or 0.420-selection validation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independent pyAPEP H2 recycle code path</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uniform 5A H2 PSA; 3 x 15-cycle policy screen plus one 450-cycle control</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open-source column solver; project wrapper</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corrected product-end topology and material-boundary stress test</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450-cycle purity/recovery/tank supply 0.99167/0.04417/0.03164; CSS 0.001254</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no corrected CSS-converged policy set; purity, recovery, tank, and CSS gates fail; no 0.420 validation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public toPSAil/Yang H2 model and experiment</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H2/CO 70/30; zeolite 5A; two beds; six steps; 25-CSTR public model</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external experiment plus external open-source dynamic model inputs and published CSS/calibration results</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same-chemistry cyclic-topology, valve/pressure/recovery calibration, and high-purity experimental anchor</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experiment purity/recovery 99.99%/75.87%; frozen event=false; published CSS 13/42/36/31 cycles</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purge/feed and product-tank purge are not the frozen product-gas recycle coordinate; no distributed cycle-result MAT files; no 0.420 validation</w:t>
            </w:r>
          </w:p>
        </w:tc>
      </w:tr>
      <w:tr>
        <w:trPr>
          <w:cantSplit/>
        </w:trPr>
        <w:tc>
          <w:tcPr>
            <w:tcW w:type="dxa" w:w="2088"/>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real-QPU finite event</w:t>
            </w:r>
          </w:p>
        </w:tc>
        <w:tc>
          <w:tcPr>
            <w:tcW w:type="dxa" w:w="230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active logical qubits on ibm_marrakesh; one job</w:t>
            </w:r>
          </w:p>
        </w:tc>
        <w:tc>
          <w:tcPr>
            <w:tcW w:type="dxa" w:w="1944"/>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separate eight-state hardware kernel</w:t>
            </w:r>
          </w:p>
        </w:tc>
        <w:tc>
          <w:tcPr>
            <w:tcW w:type="dxa" w:w="237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executable amplification-depth noise boundary</w:t>
            </w:r>
          </w:p>
        </w:tc>
        <w:tc>
          <w:tcPr>
            <w:tcW w:type="dxa" w:w="2232"/>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exact p=0.625; p-hat=0.566940; error=0.058060</w:t>
            </w:r>
          </w:p>
        </w:tc>
        <w:tc>
          <w:tcPr>
            <w:tcW w:type="dxa" w:w="3096"/>
            <w:vAlign w:val="center"/>
            <w:tcBorders>
              <w:top w:val="nil" w:sz="8" w:space="0" w:color="777777"/>
              <w:left w:val="nil" w:sz="8" w:space="0" w:color="777777"/>
              <w:bottom w:val="nil"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not the continuous prior or cyclic PSA model; no hardware-general interval</w:t>
            </w:r>
          </w:p>
        </w:tc>
      </w:tr>
      <w:tr>
        <w:trPr>
          <w:cantSplit/>
        </w:trPr>
        <w:tc>
          <w:tcPr>
            <w:tcW w:type="dxa" w:w="2088"/>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real-QPU multi-backend finite-event replication</w:t>
            </w:r>
          </w:p>
        </w:tc>
        <w:tc>
          <w:tcPr>
            <w:tcW w:type="dxa" w:w="230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three active logical qubits; three IBM processors x three fixed transpiler seeds; nine jobs</w:t>
            </w:r>
          </w:p>
        </w:tc>
        <w:tc>
          <w:tcPr>
            <w:tcW w:type="dxa" w:w="1944"/>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crossed backend/seed replication of the same frozen eight-state event kernel</w:t>
            </w:r>
          </w:p>
        </w:tc>
        <w:tc>
          <w:tcPr>
            <w:tcW w:type="dxa" w:w="2376"/>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sampled backend and compilation-seed variability for amplification-depth noise</w:t>
            </w:r>
          </w:p>
        </w:tc>
        <w:tc>
          <w:tcPr>
            <w:tcW w:type="dxa" w:w="2232"/>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mean p-hat=0.599193; mean absolute error=0.025807; between-job SD=0.003747; total QPU charge=45 s</w:t>
            </w:r>
          </w:p>
        </w:tc>
        <w:tc>
          <w:tcPr>
            <w:tcW w:type="dxa" w:w="3096"/>
            <w:vAlign w:val="center"/>
            <w:tcBorders>
              <w:top w:val="nil" w:sz="8" w:space="0" w:color="777777"/>
              <w:left w:val="nil" w:sz="8" w:space="0" w:color="777777"/>
              <w:bottom w:val="single" w:sz="8" w:space="0" w:color="777777"/>
              <w:right w:val="nil" w:sz="8" w:space="0" w:color="777777"/>
              <w:insideH w:val="nil" w:sz="8" w:space="0" w:color="777777"/>
              <w:insideV w:val="nil" w:sz="8" w:space="0" w:color="777777"/>
            </w:tcBorders>
            <w:tcMar>
              <w:top w:w="10" w:type="dxa"/>
              <w:start w:w="55" w:type="dxa"/>
              <w:bottom w:w="10" w:type="dxa"/>
              <w:end w:w="55" w:type="dxa"/>
            </w:tcMar>
          </w:tcPr>
          <w:p>
            <w:pPr>
              <w:spacing w:after="0" w:line="240" w:lineRule="auto"/>
            </w:pPr>
            <w:r>
              <w:rPr>
                <w:rFonts w:ascii="Times New Roman" w:hAnsi="Times New Roman"/>
                <w:b w:val="0"/>
                <w:i w:val="0"/>
                <w:sz w:val="12"/>
              </w:rPr>
              <w:t>descriptive interval over three observed backends and three seeds; not a universal noise-calibrated interval, continuous prior, cyclic PSA execution, or speedup result</w:t>
            </w:r>
          </w:p>
        </w:tc>
      </w:tr>
    </w:tbl>
    <w:p>
      <w:pPr>
        <w:spacing w:before="0" w:after="0" w:line="20" w:lineRule="exact"/>
      </w:pPr>
      <w:r>
        <w:rPr>
          <w:sz w:val="2"/>
        </w:rPr>
        <w:t>​</w:t>
      </w:r>
    </w:p>
    <w:sectPr w:rsidR="00FC693F" w:rsidRPr="0006063C" w:rsidSect="00034616">
      <w:pgSz w:w="15840" w:h="12240" w:orient="landscape"/>
      <w:pgMar w:top="691" w:right="720" w:bottom="691" w:left="72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SI-</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A5A5A"/>
        <w:sz w:val="16"/>
      </w:rPr>
      <w:t>Supplementary Information · PSA–QAE resource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30"/>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6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30" w:after="60"/>
      <w:outlineLvl w:val="1"/>
    </w:pPr>
    <w:rPr>
      <w:rFonts w:asciiTheme="majorHAnsi" w:eastAsiaTheme="majorEastAsia" w:hAnsiTheme="majorHAnsi" w:cstheme="majorBidi" w:ascii="Arial" w:hAnsi="Arial" w:eastAsia="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Bullet">
    <w:name w:val="SI Bullet"/>
    <w:basedOn w:val="Normal"/>
    <w:pPr>
      <w:spacing w:after="30"/>
      <w:ind w:left="317"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resource-aware PSA QAE</dc:title>
  <dc:subject>Computers &amp; Chemical Engineering submission supplement</dc:subject>
  <dc:creator>Ugwiyeon Lee; Seong-Yun Bae; Hakrae Kim; Jungsu Lee</dc:creator>
  <cp:keywords>pressure swing adsorption; quantum amplitude estimation; supplementary information</cp:keywords>
  <dc:description>generated by python-docx</dc:description>
  <cp:lastModifiedBy/>
  <cp:revision>1</cp:revision>
  <dcterms:created xsi:type="dcterms:W3CDTF">2013-12-23T23:15:00Z</dcterms:created>
  <dcterms:modified xsi:type="dcterms:W3CDTF">2013-12-23T23:15:00Z</dcterms:modified>
  <cp:category/>
</cp:coreProperties>
</file>