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十二州ACS收入监测更正与待审发布备忘</w:t>
      </w:r>
    </w:p>
    <w:p>
      <w:pPr>
        <w:pStyle w:val="Heading1"/>
      </w:pPr>
      <w:r>
        <w:t>待审结论与用途</w:t>
      </w:r>
    </w:p>
    <w:p>
      <w:r>
        <w:t>致研究负责人；基准2022-12-15 10:00 America/New_York。此为原创项目研究草稿，尚待审核，未对外发布或执行拨款。采用Census ACSBR-011（October 2022）Table 1的2019/2021 ACS 1年收入估计；报告两列均为2021美元，直接比较，不再做通胀调整。</w:t>
      </w:r>
    </w:p>
    <w:p>
      <w:r>
        <w:t>十二州中，近似单州90%检验显著上升3州（Arizona、Georgia、Pennsylvania），显著下降3州（Illinois、New York、Texas），另6州未发现显著差异。没有进行多重比较校正，不把这12次检验宣称为整体90%家族结论。不能把“未发现显著差异”写成完全不变。</w:t>
      </w:r>
    </w:p>
    <w:p>
      <w:pPr>
        <w:pStyle w:val="Heading1"/>
      </w:pPr>
      <w:r>
        <w:t>可核验逐州结果</w:t>
      </w:r>
    </w:p>
    <w:p>
      <w:r>
        <w:t>原数、MOE、SE、差区间与全精度公式见acs_audit.xlsx。检验z=abs(差)/sqrt((MOE19/1.645)^2+(MOE21/1.645)^2)，大于1.645才显著。这里是跨2019/2021两次发布的变化，不是2021同比。金额和差率以报告整数估计复算；原报告变化列仅作舍入与星号核对，不作反推输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州</w:t>
            </w:r>
          </w:p>
        </w:tc>
        <w:tc>
          <w:tcPr>
            <w:tcW w:type="dxa" w:w="1728"/>
          </w:tcPr>
          <w:p>
            <w:r>
              <w:t>差（2021美元）</w:t>
            </w:r>
          </w:p>
        </w:tc>
        <w:tc>
          <w:tcPr>
            <w:tcW w:type="dxa" w:w="1728"/>
          </w:tcPr>
          <w:p>
            <w:r>
              <w:t>跨期变化</w:t>
            </w:r>
          </w:p>
        </w:tc>
        <w:tc>
          <w:tcPr>
            <w:tcW w:type="dxa" w:w="1728"/>
          </w:tcPr>
          <w:p>
            <w:r>
              <w:t>|z|</w:t>
            </w:r>
          </w:p>
        </w:tc>
        <w:tc>
          <w:tcPr>
            <w:tcW w:type="dxa" w:w="1728"/>
          </w:tcPr>
          <w:p>
            <w:r>
              <w:t>单州90%判断</w:t>
            </w:r>
          </w:p>
        </w:tc>
      </w:tr>
      <w:tr>
        <w:tc>
          <w:tcPr>
            <w:tcW w:type="dxa" w:w="1728"/>
          </w:tcPr>
          <w:p>
            <w:r>
              <w:t>Arizona</w:t>
            </w:r>
          </w:p>
        </w:tc>
        <w:tc>
          <w:tcPr>
            <w:tcW w:type="dxa" w:w="1728"/>
          </w:tcPr>
          <w:p>
            <w:r>
              <w:t>+3,292.00</w:t>
            </w:r>
          </w:p>
        </w:tc>
        <w:tc>
          <w:tcPr>
            <w:tcW w:type="dxa" w:w="1728"/>
          </w:tcPr>
          <w:p>
            <w:r>
              <w:t>+5.01%</w:t>
            </w:r>
          </w:p>
        </w:tc>
        <w:tc>
          <w:tcPr>
            <w:tcW w:type="dxa" w:w="1728"/>
          </w:tcPr>
          <w:p>
            <w:r>
              <w:t>6.503</w:t>
            </w:r>
          </w:p>
        </w:tc>
        <w:tc>
          <w:tcPr>
            <w:tcW w:type="dxa" w:w="1728"/>
          </w:tcPr>
          <w:p>
            <w:r>
              <w:t>显著上升</w:t>
            </w:r>
          </w:p>
        </w:tc>
      </w:tr>
      <w:tr>
        <w:tc>
          <w:tcPr>
            <w:tcW w:type="dxa" w:w="1728"/>
          </w:tcPr>
          <w:p>
            <w:r>
              <w:t>California</w:t>
            </w:r>
          </w:p>
        </w:tc>
        <w:tc>
          <w:tcPr>
            <w:tcW w:type="dxa" w:w="1728"/>
          </w:tcPr>
          <w:p>
            <w:r>
              <w:t>-341.00</w:t>
            </w:r>
          </w:p>
        </w:tc>
        <w:tc>
          <w:tcPr>
            <w:tcW w:type="dxa" w:w="1728"/>
          </w:tcPr>
          <w:p>
            <w:r>
              <w:t>-0.40%</w:t>
            </w:r>
          </w:p>
        </w:tc>
        <w:tc>
          <w:tcPr>
            <w:tcW w:type="dxa" w:w="1728"/>
          </w:tcPr>
          <w:p>
            <w:r>
              <w:t>0.883</w:t>
            </w:r>
          </w:p>
        </w:tc>
        <w:tc>
          <w:tcPr>
            <w:tcW w:type="dxa" w:w="1728"/>
          </w:tcPr>
          <w:p>
            <w:r>
              <w:t>未发现显著差异</w:t>
            </w:r>
          </w:p>
        </w:tc>
      </w:tr>
      <w:tr>
        <w:tc>
          <w:tcPr>
            <w:tcW w:type="dxa" w:w="1728"/>
          </w:tcPr>
          <w:p>
            <w:r>
              <w:t>Colorado</w:t>
            </w:r>
          </w:p>
        </w:tc>
        <w:tc>
          <w:tcPr>
            <w:tcW w:type="dxa" w:w="1728"/>
          </w:tcPr>
          <w:p>
            <w:r>
              <w:t>+517.00</w:t>
            </w:r>
          </w:p>
        </w:tc>
        <w:tc>
          <w:tcPr>
            <w:tcW w:type="dxa" w:w="1728"/>
          </w:tcPr>
          <w:p>
            <w:r>
              <w:t>+0.63%</w:t>
            </w:r>
          </w:p>
        </w:tc>
        <w:tc>
          <w:tcPr>
            <w:tcW w:type="dxa" w:w="1728"/>
          </w:tcPr>
          <w:p>
            <w:r>
              <w:t>0.738</w:t>
            </w:r>
          </w:p>
        </w:tc>
        <w:tc>
          <w:tcPr>
            <w:tcW w:type="dxa" w:w="1728"/>
          </w:tcPr>
          <w:p>
            <w:r>
              <w:t>未发现显著差异</w:t>
            </w:r>
          </w:p>
        </w:tc>
      </w:tr>
      <w:tr>
        <w:tc>
          <w:tcPr>
            <w:tcW w:type="dxa" w:w="1728"/>
          </w:tcPr>
          <w:p>
            <w:r>
              <w:t>Florida</w:t>
            </w:r>
          </w:p>
        </w:tc>
        <w:tc>
          <w:tcPr>
            <w:tcW w:type="dxa" w:w="1728"/>
          </w:tcPr>
          <w:p>
            <w:r>
              <w:t>+295.00</w:t>
            </w:r>
          </w:p>
        </w:tc>
        <w:tc>
          <w:tcPr>
            <w:tcW w:type="dxa" w:w="1728"/>
          </w:tcPr>
          <w:p>
            <w:r>
              <w:t>+0.47%</w:t>
            </w:r>
          </w:p>
        </w:tc>
        <w:tc>
          <w:tcPr>
            <w:tcW w:type="dxa" w:w="1728"/>
          </w:tcPr>
          <w:p>
            <w:r>
              <w:t>0.767</w:t>
            </w:r>
          </w:p>
        </w:tc>
        <w:tc>
          <w:tcPr>
            <w:tcW w:type="dxa" w:w="1728"/>
          </w:tcPr>
          <w:p>
            <w:r>
              <w:t>未发现显著差异</w:t>
            </w:r>
          </w:p>
        </w:tc>
      </w:tr>
      <w:tr>
        <w:tc>
          <w:tcPr>
            <w:tcW w:type="dxa" w:w="1728"/>
          </w:tcPr>
          <w:p>
            <w:r>
              <w:t>Georgia</w:t>
            </w:r>
          </w:p>
        </w:tc>
        <w:tc>
          <w:tcPr>
            <w:tcW w:type="dxa" w:w="1728"/>
          </w:tcPr>
          <w:p>
            <w:r>
              <w:t>+875.00</w:t>
            </w:r>
          </w:p>
        </w:tc>
        <w:tc>
          <w:tcPr>
            <w:tcW w:type="dxa" w:w="1728"/>
          </w:tcPr>
          <w:p>
            <w:r>
              <w:t>+1.33%</w:t>
            </w:r>
          </w:p>
        </w:tc>
        <w:tc>
          <w:tcPr>
            <w:tcW w:type="dxa" w:w="1728"/>
          </w:tcPr>
          <w:p>
            <w:r>
              <w:t>1.695</w:t>
            </w:r>
          </w:p>
        </w:tc>
        <w:tc>
          <w:tcPr>
            <w:tcW w:type="dxa" w:w="1728"/>
          </w:tcPr>
          <w:p>
            <w:r>
              <w:t>显著上升</w:t>
            </w:r>
          </w:p>
        </w:tc>
      </w:tr>
      <w:tr>
        <w:tc>
          <w:tcPr>
            <w:tcW w:type="dxa" w:w="1728"/>
          </w:tcPr>
          <w:p>
            <w:r>
              <w:t>Illinois</w:t>
            </w:r>
          </w:p>
        </w:tc>
        <w:tc>
          <w:tcPr>
            <w:tcW w:type="dxa" w:w="1728"/>
          </w:tcPr>
          <w:p>
            <w:r>
              <w:t>-1,117.00</w:t>
            </w:r>
          </w:p>
        </w:tc>
        <w:tc>
          <w:tcPr>
            <w:tcW w:type="dxa" w:w="1728"/>
          </w:tcPr>
          <w:p>
            <w:r>
              <w:t>-1.52%</w:t>
            </w:r>
          </w:p>
        </w:tc>
        <w:tc>
          <w:tcPr>
            <w:tcW w:type="dxa" w:w="1728"/>
          </w:tcPr>
          <w:p>
            <w:r>
              <w:t>2.175</w:t>
            </w:r>
          </w:p>
        </w:tc>
        <w:tc>
          <w:tcPr>
            <w:tcW w:type="dxa" w:w="1728"/>
          </w:tcPr>
          <w:p>
            <w:r>
              <w:t>显著下降</w:t>
            </w:r>
          </w:p>
        </w:tc>
      </w:tr>
      <w:tr>
        <w:tc>
          <w:tcPr>
            <w:tcW w:type="dxa" w:w="1728"/>
          </w:tcPr>
          <w:p>
            <w:r>
              <w:t>New York</w:t>
            </w:r>
          </w:p>
        </w:tc>
        <w:tc>
          <w:tcPr>
            <w:tcW w:type="dxa" w:w="1728"/>
          </w:tcPr>
          <w:p>
            <w:r>
              <w:t>-2,104.00</w:t>
            </w:r>
          </w:p>
        </w:tc>
        <w:tc>
          <w:tcPr>
            <w:tcW w:type="dxa" w:w="1728"/>
          </w:tcPr>
          <w:p>
            <w:r>
              <w:t>-2.75%</w:t>
            </w:r>
          </w:p>
        </w:tc>
        <w:tc>
          <w:tcPr>
            <w:tcW w:type="dxa" w:w="1728"/>
          </w:tcPr>
          <w:p>
            <w:r>
              <w:t>4.449</w:t>
            </w:r>
          </w:p>
        </w:tc>
        <w:tc>
          <w:tcPr>
            <w:tcW w:type="dxa" w:w="1728"/>
          </w:tcPr>
          <w:p>
            <w:r>
              <w:t>显著下降</w:t>
            </w:r>
          </w:p>
        </w:tc>
      </w:tr>
      <w:tr>
        <w:tc>
          <w:tcPr>
            <w:tcW w:type="dxa" w:w="1728"/>
          </w:tcPr>
          <w:p>
            <w:r>
              <w:t>Ohio</w:t>
            </w:r>
          </w:p>
        </w:tc>
        <w:tc>
          <w:tcPr>
            <w:tcW w:type="dxa" w:w="1728"/>
          </w:tcPr>
          <w:p>
            <w:r>
              <w:t>+115.00</w:t>
            </w:r>
          </w:p>
        </w:tc>
        <w:tc>
          <w:tcPr>
            <w:tcW w:type="dxa" w:w="1728"/>
          </w:tcPr>
          <w:p>
            <w:r>
              <w:t>+0.19%</w:t>
            </w:r>
          </w:p>
        </w:tc>
        <w:tc>
          <w:tcPr>
            <w:tcW w:type="dxa" w:w="1728"/>
          </w:tcPr>
          <w:p>
            <w:r>
              <w:t>0.252</w:t>
            </w:r>
          </w:p>
        </w:tc>
        <w:tc>
          <w:tcPr>
            <w:tcW w:type="dxa" w:w="1728"/>
          </w:tcPr>
          <w:p>
            <w:r>
              <w:t>未发现显著差异</w:t>
            </w:r>
          </w:p>
        </w:tc>
      </w:tr>
      <w:tr>
        <w:tc>
          <w:tcPr>
            <w:tcW w:type="dxa" w:w="1728"/>
          </w:tcPr>
          <w:p>
            <w:r>
              <w:t>Pennsylvania</w:t>
            </w:r>
          </w:p>
        </w:tc>
        <w:tc>
          <w:tcPr>
            <w:tcW w:type="dxa" w:w="1728"/>
          </w:tcPr>
          <w:p>
            <w:r>
              <w:t>+1,701.00</w:t>
            </w:r>
          </w:p>
        </w:tc>
        <w:tc>
          <w:tcPr>
            <w:tcW w:type="dxa" w:w="1728"/>
          </w:tcPr>
          <w:p>
            <w:r>
              <w:t>+2.53%</w:t>
            </w:r>
          </w:p>
        </w:tc>
        <w:tc>
          <w:tcPr>
            <w:tcW w:type="dxa" w:w="1728"/>
          </w:tcPr>
          <w:p>
            <w:r>
              <w:t>4.116</w:t>
            </w:r>
          </w:p>
        </w:tc>
        <w:tc>
          <w:tcPr>
            <w:tcW w:type="dxa" w:w="1728"/>
          </w:tcPr>
          <w:p>
            <w:r>
              <w:t>显著上升</w:t>
            </w:r>
          </w:p>
        </w:tc>
      </w:tr>
      <w:tr>
        <w:tc>
          <w:tcPr>
            <w:tcW w:type="dxa" w:w="1728"/>
          </w:tcPr>
          <w:p>
            <w:r>
              <w:t>Texas</w:t>
            </w:r>
          </w:p>
        </w:tc>
        <w:tc>
          <w:tcPr>
            <w:tcW w:type="dxa" w:w="1728"/>
          </w:tcPr>
          <w:p>
            <w:r>
              <w:t>-898.00</w:t>
            </w:r>
          </w:p>
        </w:tc>
        <w:tc>
          <w:tcPr>
            <w:tcW w:type="dxa" w:w="1728"/>
          </w:tcPr>
          <w:p>
            <w:r>
              <w:t>-1.32%</w:t>
            </w:r>
          </w:p>
        </w:tc>
        <w:tc>
          <w:tcPr>
            <w:tcW w:type="dxa" w:w="1728"/>
          </w:tcPr>
          <w:p>
            <w:r>
              <w:t>2.003</w:t>
            </w:r>
          </w:p>
        </w:tc>
        <w:tc>
          <w:tcPr>
            <w:tcW w:type="dxa" w:w="1728"/>
          </w:tcPr>
          <w:p>
            <w:r>
              <w:t>显著下降</w:t>
            </w:r>
          </w:p>
        </w:tc>
      </w:tr>
      <w:tr>
        <w:tc>
          <w:tcPr>
            <w:tcW w:type="dxa" w:w="1728"/>
          </w:tcPr>
          <w:p>
            <w:r>
              <w:t>Virginia</w:t>
            </w:r>
          </w:p>
        </w:tc>
        <w:tc>
          <w:tcPr>
            <w:tcW w:type="dxa" w:w="1728"/>
          </w:tcPr>
          <w:p>
            <w:r>
              <w:t>-63.00</w:t>
            </w:r>
          </w:p>
        </w:tc>
        <w:tc>
          <w:tcPr>
            <w:tcW w:type="dxa" w:w="1728"/>
          </w:tcPr>
          <w:p>
            <w:r>
              <w:t>-0.08%</w:t>
            </w:r>
          </w:p>
        </w:tc>
        <w:tc>
          <w:tcPr>
            <w:tcW w:type="dxa" w:w="1728"/>
          </w:tcPr>
          <w:p>
            <w:r>
              <w:t>0.090</w:t>
            </w:r>
          </w:p>
        </w:tc>
        <w:tc>
          <w:tcPr>
            <w:tcW w:type="dxa" w:w="1728"/>
          </w:tcPr>
          <w:p>
            <w:r>
              <w:t>未发现显著差异</w:t>
            </w:r>
          </w:p>
        </w:tc>
      </w:tr>
      <w:tr>
        <w:tc>
          <w:tcPr>
            <w:tcW w:type="dxa" w:w="1728"/>
          </w:tcPr>
          <w:p>
            <w:r>
              <w:t>Washington</w:t>
            </w:r>
          </w:p>
        </w:tc>
        <w:tc>
          <w:tcPr>
            <w:tcW w:type="dxa" w:w="1728"/>
          </w:tcPr>
          <w:p>
            <w:r>
              <w:t>+857.00</w:t>
            </w:r>
          </w:p>
        </w:tc>
        <w:tc>
          <w:tcPr>
            <w:tcW w:type="dxa" w:w="1728"/>
          </w:tcPr>
          <w:p>
            <w:r>
              <w:t>+1.03%</w:t>
            </w:r>
          </w:p>
        </w:tc>
        <w:tc>
          <w:tcPr>
            <w:tcW w:type="dxa" w:w="1728"/>
          </w:tcPr>
          <w:p>
            <w:r>
              <w:t>1.091</w:t>
            </w:r>
          </w:p>
        </w:tc>
        <w:tc>
          <w:tcPr>
            <w:tcW w:type="dxa" w:w="1728"/>
          </w:tcPr>
          <w:p>
            <w:r>
              <w:t>未发现显著差异</w:t>
            </w:r>
          </w:p>
        </w:tc>
      </w:tr>
    </w:tbl>
    <w:p>
      <w:pPr>
        <w:pStyle w:val="Heading1"/>
      </w:pPr>
      <w:r>
        <w:t>旧稿为何不能发布</w:t>
      </w:r>
    </w:p>
    <w:p>
      <w:r>
        <w:t>11月30日v1把S01已换算到2021美元的2019基数再乘1.05976096，导致双重通胀调整，主分析须删除这一步而保留审计对照。该因子来自一般2019美元到2021美元指南，并不推翻具体报告脚注。工作簿旧稿审计逐州保存错误增长、正确增长及旧减新的百分点差，供定位旧稿。</w:t>
      </w:r>
    </w:p>
    <w:p>
      <w:r>
        <w:t>v1仅按点估计上升标改善，忽略MOE。例如Florida点值上升295美元、约0.47%，但未达90%差异阈值；不能称已证实改善。California点值下降341美元也未达阈值，不能称已证实下降。研究负责人12月12日与15日确认有权修订口径，传播专员较新的建议不是批准。</w:t>
      </w:r>
    </w:p>
    <w:p>
      <w:pPr>
        <w:pStyle w:val="Heading1"/>
      </w:pPr>
      <w:r>
        <w:t>三项建议处置</w:t>
      </w:r>
    </w:p>
    <w:p>
      <w:r>
        <w:t>2020不是普通漏数，不在两个点之间捏造、线性插补或声称已下载常规估计。2017–2021五年值不能接到单年序列；即使另比2015–2019与2017–2021，也有3个收集年重叠。</w:t>
      </w:r>
    </w:p>
    <w:p>
      <w:r>
        <w:t>全国中位数应取官方全国估计，不把12州中位数简单平均成全国。当前表仅支持这些州的描述性监测；不能推出政策导致收入变化、同一家庭改善或最佳拨款排序。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建议</w:t>
            </w:r>
          </w:p>
        </w:tc>
        <w:tc>
          <w:tcPr>
            <w:tcW w:type="dxa" w:w="2160"/>
          </w:tcPr>
          <w:p>
            <w:r>
              <w:t>处理</w:t>
            </w:r>
          </w:p>
        </w:tc>
        <w:tc>
          <w:tcPr>
            <w:tcW w:type="dxa" w:w="2160"/>
          </w:tcPr>
          <w:p>
            <w:r>
              <w:t>依据</w:t>
            </w:r>
          </w:p>
        </w:tc>
        <w:tc>
          <w:tcPr>
            <w:tcW w:type="dxa" w:w="2160"/>
          </w:tcPr>
          <w:p>
            <w:r>
              <w:t>下一步/责任</w:t>
            </w:r>
          </w:p>
        </w:tc>
      </w:tr>
      <w:tr>
        <w:tc>
          <w:tcPr>
            <w:tcW w:type="dxa" w:w="2160"/>
          </w:tcPr>
          <w:p>
            <w:r>
              <w:t>2020实验数据拼入序列</w:t>
            </w:r>
          </w:p>
        </w:tc>
        <w:tc>
          <w:tcPr>
            <w:tcW w:type="dxa" w:w="2160"/>
          </w:tcPr>
          <w:p>
            <w:r>
              <w:t>不采纳；不插值、不补造2020常规收入</w:t>
            </w:r>
          </w:p>
        </w:tc>
        <w:tc>
          <w:tcPr>
            <w:tcW w:type="dxa" w:w="2160"/>
          </w:tcPr>
          <w:p>
            <w:r>
              <w:t>S01页1、S02 2021指南；方法/非应答差异</w:t>
            </w:r>
          </w:p>
        </w:tc>
        <w:tc>
          <w:tcPr>
            <w:tcW w:type="dxa" w:w="2160"/>
          </w:tcPr>
          <w:p>
            <w:r>
              <w:t>研究负责人保留2019/2021断点并明确缺口原因</w:t>
            </w:r>
          </w:p>
        </w:tc>
      </w:tr>
      <w:tr>
        <w:tc>
          <w:tcPr>
            <w:tcW w:type="dxa" w:w="2160"/>
          </w:tcPr>
          <w:p>
            <w:r>
              <w:t>接入2017–2021五年产品</w:t>
            </w:r>
          </w:p>
        </w:tc>
        <w:tc>
          <w:tcPr>
            <w:tcW w:type="dxa" w:w="2160"/>
          </w:tcPr>
          <w:p>
            <w:r>
              <w:t>不与1年拼接；不能称单年2021变化</w:t>
            </w:r>
          </w:p>
        </w:tc>
        <w:tc>
          <w:tcPr>
            <w:tcW w:type="dxa" w:w="2160"/>
          </w:tcPr>
          <w:p>
            <w:r>
              <w:t>S02第4章；1年/5年不同窗口；2015–2019与2017–2021又有3年重叠</w:t>
            </w:r>
          </w:p>
        </w:tc>
        <w:tc>
          <w:tcPr>
            <w:tcW w:type="dxa" w:w="2160"/>
          </w:tcPr>
          <w:p>
            <w:r>
              <w:t>若另做小地域分析，另立一致5年产品设计并优先非重叠窗口</w:t>
            </w:r>
          </w:p>
        </w:tc>
      </w:tr>
      <w:tr>
        <w:tc>
          <w:tcPr>
            <w:tcW w:type="dxa" w:w="2160"/>
          </w:tcPr>
          <w:p>
            <w:r>
              <w:t>十二州中位数平均称全国并自动拨款</w:t>
            </w:r>
          </w:p>
        </w:tc>
        <w:tc>
          <w:tcPr>
            <w:tcW w:type="dxa" w:w="2160"/>
          </w:tcPr>
          <w:p>
            <w:r>
              <w:t>不采纳；中位数不可按州简单平均代表全国，且收入不等于项目需求/效果</w:t>
            </w:r>
          </w:p>
        </w:tc>
        <w:tc>
          <w:tcPr>
            <w:tcW w:type="dxa" w:w="2160"/>
          </w:tcPr>
          <w:p>
            <w:r>
              <w:t>S03研究目标；S01全国中位数单独公布；没有成本、覆盖需求或效果资料</w:t>
            </w:r>
          </w:p>
        </w:tc>
        <w:tc>
          <w:tcPr>
            <w:tcW w:type="dxa" w:w="2160"/>
          </w:tcPr>
          <w:p>
            <w:r>
              <w:t>项目负责人补项目成本、服务缺口、目标群体规模与效果证据；委员会另行确定分配标准</w:t>
            </w:r>
          </w:p>
        </w:tc>
      </w:tr>
    </w:tbl>
    <w:p>
      <w:pPr>
        <w:pStyle w:val="Heading1"/>
      </w:pPr>
      <w:r>
        <w:t>解释边界与下一步</w:t>
      </w:r>
    </w:p>
    <w:p>
      <w:r>
        <w:t>家庭收入是家庭内15岁及以上成员的税前现金收入；中位数非均值、个人可支配收入或同户面板。ACS问访问前12个月，并非两个自然年精确对比；2019与2021权重基于不同人口普查基数。2021美元调整时间通胀，不代表州际生活成本已调整；显著性也不等于变化有业务重要性。</w:t>
      </w:r>
    </w:p>
    <w:p>
      <w:r>
        <w:t>研究分析员先替换旧底表和摘要标签，研究负责人核对币值、MOE、12州名单及本备忘一致后才批准发布草案。项目负责人另补服务缺口、目标群体规模、单位成本与项目效果资料；委员会据明确目标和分配准则作后续资源决定。缺这些信息不能只按州收入高低自动拨款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