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原创研究委托R2｜先修复宏观背景，不作投资或扩张放行</w:t>
      </w:r>
    </w:p>
    <w:p>
      <w:pPr>
        <w:pStyle w:val="Heading1"/>
      </w:pPr>
      <w:r>
        <w:t>使用者、决策与时间线</w:t>
      </w:r>
    </w:p>
    <w:p>
      <w:r>
        <w:t>你是四国研究简报的宏观数据分析员。首席分析师要判断哪些旧简报必须撤回、哪些国家的2024实际产出需补查，并形成可交接的研究底稿，不是批准投资或市场进入。业务基准2026-10-21 09:00 Asia/Shanghai。四国及GDP是真实公开数据；团队角色/委托/旧稿和消息均为作者原创。</w:t>
      </w:r>
    </w:p>
    <w:p>
      <w:r>
        <w:t>10月20日15:00 R1原本研究现价美元规模；17:00助理的D0却把两类指标混接、套“实际增长/2010不变美元”。21日08:00首席分析师签R2改做实际增长审阅，明确替换R1目标。08:35营销建议保留D0百分比、凡美元额下降都写衰退，方便发布；该建议未批准，不能以消息更晚覆盖R2。原始API于20日UTC实际冻结，数据集更新日10月8日，不把任何原创团队时间伪称WDI正式发布日期。</w:t>
      </w:r>
    </w:p>
    <w:p>
      <w:pPr>
        <w:pStyle w:val="Heading1"/>
      </w:pPr>
      <w:r>
        <w:t>计算与交付</w:t>
      </w:r>
    </w:p>
    <w:p>
      <w:r>
        <w:t>从多个Skill的名称/描述与入口判断是否使用、哪些适用。可选择合适Skill实际运行，或说明不用的理由并实际运行可复核替代实现；不强制运行全部Skill，不把只读元数据、现价规模或历史vintage调查当成已完成组合修复。skill_evidence.json应真实记录执行器、输入哈希、所用Skill/脚本哈希及计算结果，不伪造运行轨迹。</w:t>
      </w:r>
    </w:p>
    <w:p>
      <w:r>
        <w:t>交宏观底稿macro_review.xlsx、research_memo.docx和skill_evidence.json共三个文件。工作簿应有清晰单位/版本/来源说明、72原始记录与三指标字典、四国2019–2024的24条年度分析、4行旧稿纠错及2024补查结论。只要结构可追溯可等价组织，不要求与参考文件同表名/排版。</w:t>
      </w:r>
    </w:p>
    <w:p>
      <w:r>
        <w:t>每年保留现价美元、2015不变美元、官方增长；2019不变价指数=100。2020–2024分别由同国相邻同口径水平复算实际增长及现价美元变化，再以百分点比较实际增长与官方值；差值绝对值≤0.00001个百分点是本团队核对约定，不是World Bank精度保证。2019缺2018水平，派生同比/差值留空标明原因，不填0或假数。</w:t>
      </w:r>
    </w:p>
    <w:p>
      <w:r>
        <w:t>关键派生单元格需可复算公式、打开可见缓存；源值保留全精度，美元可按十亿显示（两位）、增长百分数/百分点两位，2019指数两位。分清数值单位：如3.42表示3.42%，不要再套百分比格式显示342%。</w:t>
      </w:r>
    </w:p>
    <w:p>
      <w:r>
        <w:t>D0逐国保留分子/分母指标、原百分比、混价或现价误称实际的诊断、正确2024实际增长和纠错动作。不得对整列套一个修复系数，不把D0当旧官方vintage；缺历史官方快照就保留未能归因的边界。</w:t>
      </w:r>
    </w:p>
    <w:p>
      <w:r>
        <w:t>备忘向首席分析师说明4个Skill适用性/选择或不用理由、R2与营销权限、四国2024实际增长、实际负增长需补查名单、2019→2024实际指数与最低恢复者、旧稿撤回动作/负责人/复核门禁。宏观GDP不直接决定公司业务、居民福利、生活成本或投资回报；没有订单/行业/利润/风险资料就不作市场进入放行。</w:t>
      </w:r>
    </w:p>
    <w:p>
      <w:r>
        <w:t>数值依据以S01/S02为准，知识说明见S03。不得联网换数据后混进同一底稿，也不得把2010说明例子改写成此快照的参照年；无第二官方历史快照，不重造历史vintage或断言某次统计修订导致D0差额。所有成果待审，未对外发布、未真实联系World Bank或专家。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