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跨年Green数据接入｜质量待审</w:t>
      </w:r>
    </w:p>
    <w:p>
      <w:r>
        <w:t>致数据质量负责人和月报业务负责人｜原创内部业务回放2026-10-21 09:00 Asia/Shanghai；不是TLC官方审批或历史抓取证明。执行时刻及冻结SHA见execution_receipt.json。</w:t>
      </w:r>
    </w:p>
    <w:p>
      <w:pPr>
        <w:pStyle w:val="Heading1"/>
      </w:pPr>
      <w:r>
        <w:t>一、结论与可用范围</w:t>
      </w:r>
    </w:p>
    <w:p>
      <w:r>
        <w:t>暂不自动放行业务月报；三份真实源共148941行全量保留到quality_ledger.sqlite。原始层可按哈希归档；业务层须先核异常/分母与版本口径，不删除异常、不补造金额或推断政策因果效应。TLC声明数据来自技术提供商，不担保准确性，作者也不能以校验通过替官方验真。</w:t>
      </w:r>
    </w:p>
    <w:p>
      <w:r>
        <w:t>2024-12：53994行；上客本月53976、跨月18；落客早于上客0。CBD五态（无列/null/负/零/正）=53994/0/0/0/0。这些是源分区口径，不是重分月后的去重行程量。</w:t>
      </w:r>
    </w:p>
    <w:p>
      <w:r>
        <w:t>2025-01：48326行；上客本月48283、跨月43；落客早于上客0。CBD五态（无列/null/负/零/正）=0/1836/0/43183/3307。这些是源分区口径，不是重分月后的去重行程量。</w:t>
      </w:r>
    </w:p>
    <w:p>
      <w:r>
        <w:t>2025-02：46621行；上客本月46602、跨月19；落客早于上客210。CBD五态（无列/null/负/零/正）=0/1988/0/40782/3851。这些是源分区口径，不是重分月后的去重行程量。</w:t>
      </w:r>
    </w:p>
    <w:p>
      <w:pPr>
        <w:pStyle w:val="Heading1"/>
      </w:pPr>
      <w:r>
        <w:t>二、版本、消息与时间</w:t>
      </w:r>
    </w:p>
    <w:p>
      <w:r>
        <w:t>采用负责人的R2，保留R1历史，不采纳较晚营销删异常/填零建议。有权R2增加全量行账、schema五态及唯一处置；这属于原创内部合同，不是TLC官方质量标准。无时区时间戳按America/New_York当地墙钟，不作UTC转换。真实抓取2026，不能伪称此快照2025已存在。</w:t>
      </w:r>
    </w:p>
    <w:p>
      <w:r>
        <w:t>官方网页称2025起新增cbd_congestion_fee；字典2025-03-18说明费用从2025-01-05开始。旧文件无该列不等金额零，新文件null也不等免费；congestion_surcharge是另一费项，不能替代。只有字段与日期不足以逐程认定计费违法；不据前后月份差异声称政策有效。</w:t>
      </w:r>
    </w:p>
    <w:p>
      <w:r>
        <w:br w:type="page"/>
      </w:r>
    </w:p>
    <w:p>
      <w:pPr>
        <w:pStyle w:val="Heading1"/>
      </w:pPr>
      <w:r>
        <w:t>三、行守恒与可追溯账</w:t>
      </w:r>
    </w:p>
    <w:p>
      <w:r>
        <w:t>quality_ledger.sqlite以(batch,row_number)唯一保留每源每行，上客/落客墙钟、zone、CBD状态/原值、距离、全部质量标记和唯一处置。每批原行数=SQLite行数=唯一处置之和；本月+跨月=原行数。多标签同一行可重叠，标签合计不是异常总行数。优先级：wrong_month → negative_duration → zone_unresolved → zone_not_borough → cbd_missing → distance_nonpositive → clean；距离是否隔离为True，不改变原始距离/标记。</w:t>
      </w:r>
    </w:p>
    <w:p>
      <w:r>
        <w:t>Schema版本页逐字段列实际类型/缺列；CBD五态页保留结构缺失、null、负、零、正且总数守恒。zone 264是Unknown，265是Outside of NYC，不是普通城区；即使能join也不能直接计入区级空间覆盖。原日期异常和非正距离只标记待核，不认定驾驶人、提供商违法或造假。</w:t>
      </w:r>
    </w:p>
    <w:p>
      <w:pPr>
        <w:pStyle w:val="Heading1"/>
      </w:pPr>
      <w:r>
        <w:t>四、D0错误与后续动作</w:t>
      </w:r>
    </w:p>
    <w:p>
      <w:r>
        <w:t>D0为原创有缺陷旧稿：只读1000行冒全量、文件名代上客月、缺列/null全填0、过滤非正距离。新版实际遍历三份全部行，分开两种月份，五态不补值，保留异常。无修改任何官方输入。</w:t>
      </w:r>
    </w:p>
    <w:p>
      <w:r>
        <w:t>工程师向数据质量负责人交带行号的隔离账和当前哈希；业务负责人确认区级报表分母、跨月归属和特殊zone处置；必要时联系来源提供方核实日期/缺值。待负责人核准再建下游业务视图，不从原始层删行。未做真实联系、官方确认、自动发布、模型能力测试或专家签字。</w:t>
      </w:r>
    </w:p>
    <w:p>
      <w:pPr>
        <w:pStyle w:val="Heading1"/>
      </w:pPr>
      <w:r>
        <w:t>五、复现与失败恢复</w:t>
      </w:r>
    </w:p>
    <w:p>
      <w:r>
        <w:t>依赖Python、pyarrow、openpyxl、python-docx、sqlite3及LibreOffice（真实重算公式缓存）。新建空输出目录并复制quality_audit.py，执行python quality_audit.py build --input-dir /app/input_files --output-dir 新目录；随后verify同参数。build拒不完整输入、无权合同与未知schema；verify核输入/当前脚本/SQLite/两Office哈希及行守恒。变更后旧回执失效，在新目录重建；哈希只是字节一致证明，不是可信签章或全部语义正确证明。</w:t>
      </w:r>
    </w:p>
    <w:p>
      <w:r>
        <w:t>来源：S01–S03官方链接的完整Parquet；S04官方zone表；S05官方2页字典；S06含原站免责声明/取证日期。S07–S10的旧稿、合同、权限和业务日期均原创演练，不代表市政数据生产指令。</w:t>
      </w:r>
    </w:p>
    <w:sectPr w:rsidR="00FC693F" w:rsidRPr="0006063C" w:rsidSect="00034616">
      <w:pgSz w:w="12240" w:h="15840"/>
      <w:pgMar w:top="907" w:right="1800" w:bottom="90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Work50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