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增量无障碍交接与范围决策</w:t>
      </w:r>
    </w:p>
    <w:p>
      <w:pPr>
        <w:pStyle w:val="Heading1"/>
      </w:pPr>
      <w:r>
        <w:t>基准、效力与时间</w:t>
      </w:r>
    </w:p>
    <w:p>
      <w:r>
        <w:t>基准为2024-03-15 09:00 Asia/Shanghai。固定W3C版本发布于2023-10-05；这是标准发布日期，不是项目合同自动生效日或地方强制法规。B2由产品负责人3月1日批准，3月15日08:30补充继续有效；3月14日较新但未批准的D1不覆盖B2。</w:t>
      </w:r>
    </w:p>
    <w:p>
      <w:r>
        <w:t>B1是历史2.1 AA基线；本轮采用2.2新增A/AA，不表示2.1整体作废。4.1.1从2.2移除，不列本轮新增阻断。九新增中AAA三项仅作路线图评估，不能以“更新文件”或标准级别更高为由擅自扩大范围。</w:t>
      </w:r>
    </w:p>
    <w:p>
      <w:pPr>
        <w:pStyle w:val="Heading1"/>
      </w:pPr>
      <w:r>
        <w:t>D0修改与全局联动</w:t>
      </w:r>
    </w:p>
    <w:p>
      <w:r>
        <w:t>将2.4.11从AAA改AA；3.2.6从AA改A；3.3.8从A改AA；4.1.1从新增改移除；补齐2.4.12、2.4.13、2.5.7、3.3.7、3.3.9。完整十项见工作簿。</w:t>
      </w:r>
    </w:p>
    <w:p>
      <w:r>
        <w:t>清单明确2.4.11只要求不完全遮挡，不把2.4.12全部可见强制用于AA；2.5.8完整保留五例外；3.3.8允许辅助机制而非一刀切禁止密码。项目自定义控件44px是设计约定，标准最小尺寸仍是24px及例外。</w:t>
      </w:r>
    </w:p>
    <w:p>
      <w:r>
        <w:t>三份交付都维持增量组件/未认证边界；未采纳D1的“全面认证”文案。</w:t>
      </w:r>
    </w:p>
    <w:p>
      <w:pPr>
        <w:pStyle w:val="Heading1"/>
      </w:pPr>
      <w:r>
        <w:t>原型实现与开发交接</w:t>
      </w:r>
    </w:p>
    <w:p>
      <w:r>
        <w:t>HTML直接用浏览器打开。用虚构资料生成本机模拟链接、点击继续进入第二步；资料自动带入，可改后返回，服务排序支持单指针按钮，帮助保持相对顺序。CSS底部留白和滚动余量配合focusin滚动，避免固定底栏覆盖焦点。</w:t>
      </w:r>
    </w:p>
    <w:p>
      <w:r>
        <w:t>密码及验证码不是本原型路径，不表示真实认证只能用邮件。页面本机模拟收件箱和链接不发送邮件，不完成真实身份核验。真实服务接入前需安全评审与端到端认证测试。</w:t>
      </w:r>
    </w:p>
    <w:p>
      <w:r>
        <w:t>工作簿可复现验收表列操作与预期，不是已完成生产测试记录。样例不包含生产网站全页面、完整过程及所有既有准则审计，故不能对整站宣称符合或认证。</w:t>
      </w:r>
    </w:p>
    <w:p>
      <w:r>
        <w:t>设计师交付本原型与清单后，由前端实现真实组件及跨页面相对顺序；产品负责人审批范围，测试人员按T01–T09复现；涉及真实邮箱或预约服务的接入不在本次交付内。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