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按钮迁移交接｜待团队审阅</w:t>
      </w:r>
    </w:p>
    <w:p>
      <w:r>
        <w:t>致交互设计负责人及实现工程师｜2024-01-10 10:00 Europe/London。目标5.0.0；本机原型和检查器，不是官方组件运行库、后台验证或上线批准。</w:t>
      </w:r>
    </w:p>
    <w:p>
      <w:pPr>
        <w:pStyle w:val="Heading1"/>
      </w:pPr>
      <w:r>
        <w:t>1 / 时间、版本与批准权</w:t>
      </w:r>
    </w:p>
    <w:p>
      <w:r>
        <w:t>官方v4.6.0发布于2023-04-20 13:45:33 UTC，已弃用旧禁用类；v5.0.0发布于2023-12-08 16:17:12 UTC，移除旧类，不再支持禁用link。团队2023-12-15批准2024-01-10审查目标5.0；2024-01-09营销更晚便笺无权撤销。源码抓取2026-10-20不是历史生效时间，release页另有2024-01-16签名密钥到期时间也不是组件发布日期。</w:t>
      </w:r>
    </w:p>
    <w:p>
      <w:pPr>
        <w:pStyle w:val="Heading1"/>
      </w:pPr>
      <w:r>
        <w:t>2 / D0缺陷到新交付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D0问题</w:t>
            </w:r>
          </w:p>
        </w:tc>
        <w:tc>
          <w:tcPr>
            <w:tcW w:type="dxa" w:w="4320"/>
          </w:tcPr>
          <w:p>
            <w:r>
              <w:t>修订及检查位置</w:t>
            </w:r>
          </w:p>
        </w:tc>
      </w:tr>
      <w:tr>
        <w:tc>
          <w:tcPr>
            <w:tcW w:type="dxa" w:w="4320"/>
          </w:tcPr>
          <w:p>
            <w:r>
              <w:t>只认旧类、用属性值真假判禁用</w:t>
            </w:r>
          </w:p>
        </w:tc>
        <w:tc>
          <w:tcPr>
            <w:tcW w:type="dxa" w:w="4320"/>
          </w:tcPr>
          <w:p>
            <w:r>
              <w:t>移除旧类；checker按button/input属性存在性。s-empty空串、s-disabled文字值、s-boolfalse教学探针均原生禁用。</w:t>
            </w:r>
          </w:p>
        </w:tc>
      </w:tr>
      <w:tr>
        <w:tc>
          <w:tcPr>
            <w:tcW w:type="dxa" w:w="4320"/>
          </w:tcPr>
          <w:p>
            <w:r>
              <w:t>灰色a仍带href，被称“不能提交”</w:t>
            </w:r>
          </w:p>
        </w:tc>
        <w:tc>
          <w:tcPr>
            <w:tcW w:type="dxa" w:w="4320"/>
          </w:tcPr>
          <w:p>
            <w:r>
              <w:t>s-unavailable改静态p并说明未开放；s-link保留可用链接仅导航。动作与导航语义分开。</w:t>
            </w:r>
          </w:p>
        </w:tc>
      </w:tr>
      <w:tr>
        <w:tc>
          <w:tcPr>
            <w:tcW w:type="dxa" w:w="4320"/>
          </w:tcPr>
          <w:p>
            <w:r>
              <w:t>失败后永久锁死，删去输入</w:t>
            </w:r>
          </w:p>
        </w:tc>
        <w:tc>
          <w:tcPr>
            <w:tcW w:type="dxa" w:w="4320"/>
          </w:tcPr>
          <w:p>
            <w:r>
              <w:t>live demo保留材料、文字提示失败并重新启用重试；reset显式清空，取消旧定时回调。</w:t>
            </w:r>
          </w:p>
        </w:tc>
      </w:tr>
      <w:tr>
        <w:tc>
          <w:tcPr>
            <w:tcW w:type="dxa" w:w="4320"/>
          </w:tcPr>
          <w:p>
            <w:r>
              <w:t>双击/后台已验等虚假断言</w:t>
            </w:r>
          </w:p>
        </w:tc>
        <w:tc>
          <w:tcPr>
            <w:tcW w:type="dxa" w:w="4320"/>
          </w:tcPr>
          <w:p>
            <w:r>
              <w:t>忙碌期间立即门禁并计启动次数；成功仅本机摘要，服务器幂等未验，未发送/未提交。</w:t>
            </w:r>
          </w:p>
        </w:tc>
      </w:tr>
      <w:tr>
        <w:tc>
          <w:tcPr>
            <w:tcW w:type="dxa" w:w="4320"/>
          </w:tcPr>
          <w:p>
            <w:r>
              <w:t>只有“通过”结论与红绿反馈</w:t>
            </w:r>
          </w:p>
        </w:tc>
        <w:tc>
          <w:tcPr>
            <w:tcW w:type="dxa" w:w="4320"/>
          </w:tcPr>
          <w:p>
            <w:r>
              <w:t>状态明确文字、预置role=status区域、实际检查JSON/源哈希；不只看颜色或作者pass字段。</w:t>
            </w:r>
          </w:p>
        </w:tc>
      </w:tr>
    </w:tbl>
    <w:p>
      <w:pPr>
        <w:pStyle w:val="Heading1"/>
      </w:pPr>
      <w:r>
        <w:t>3 / 状态与可编辑交付</w:t>
      </w:r>
    </w:p>
    <w:p>
      <w:r>
        <w:t>prototype.html内8个状态卡和一段动态回放均为可编辑DOM/样式/脚本，非截图。s-ready只跳转模拟区；s-empty缺资料、s-disabled原生input、s-boolfalse属性存在性探针、s-busy忙碌、s-complete仅本机完成、s-link说明导航、s-unavailable非交互说明。disabled="false"仅测试旧实现误读，不是推荐生产布尔写法。</w:t>
      </w:r>
    </w:p>
    <w:p>
      <w:r>
        <w:br w:type="page"/>
      </w:r>
    </w:p>
    <w:p>
      <w:pPr>
        <w:pStyle w:val="Heading1"/>
      </w:pPr>
      <w:r>
        <w:t>4 / 执行与可重复使用</w:t>
      </w:r>
    </w:p>
    <w:p>
      <w:r>
        <w:t>在输出目录运行：python3 button-migration/scripts/audit_states.py --html prototype.html --contract /app/input_files/S04_状态合同.json --out checks.json。镜像内默认/usr/bin/chromium，其他已装浏览器可传--browser；空串用已装Playwright浏览器，不会联网安装。局部Skill不需要全局安装。</w:t>
      </w:r>
    </w:p>
    <w:p>
      <w:r>
        <w:t>检查器读取冻结合同，静态核8状态的元素/禁用语义、旧类/重复ID，再用真实浏览器在1280×900与390×844回放键盘失败、输入保留、成功、重复激活、导航和重置，核基础尺寸和无远程请求。JSON记录真正执行时间、浏览器和源/脚本哈希，非2024历史运行记录；检查失败返回2，异常/缺依赖不写成功。</w:t>
      </w:r>
    </w:p>
    <w:p>
      <w:pPr>
        <w:pStyle w:val="Heading1"/>
      </w:pPr>
      <w:r>
        <w:t>5 / 反例、复测与下一责任人</w:t>
      </w:r>
    </w:p>
    <w:p>
      <w:r>
        <w:t>设计师交出状态/说明，前端工程师按失败项修复并重跑，再由设计负责人审阅。至少复测旧类残留、空串属性被删、不可用入口改回可导航链接、失败后仍锁定、永远pass的检查器。须用实际坏HTML/坏checker执行，不把只写“应失败”当实测；独立QA保存反例文件与观测，不复制成正式合格证。后续改合同/HTML/脚本须重跑、更新checks.json并同步说明。</w:t>
      </w:r>
    </w:p>
    <w:p>
      <w:pPr>
        <w:pStyle w:val="Heading1"/>
      </w:pPr>
      <w:r>
        <w:t>6 / 明确未验范围与来源</w:t>
      </w:r>
    </w:p>
    <w:p>
      <w:r>
        <w:t>两尺寸DOM回放不证明屏幕阅读器真实播报、全WCAG、所有浏览器或真实用户研究。后端负责人另验幂等键/并发/重放与事务边界；无授权不接真实API、不发申请。无JavaScript只显示限制且初始不可模拟，完整无脚本生产流程待设计。只读输入不改；不存Cookie或持久存储。演示不是GOV.UK官方服务，未使用标志/Transport字体。</w:t>
      </w:r>
    </w:p>
    <w:p>
      <w:r>
        <w:t>S01官方release两节与Boolean attributes节、S02对应两版本模板/JS/SCSS、S03 MIT许可证、S04/S08原创团队合同与权限。公开源码许可随输入保留（2017 Crown Copyright/Government Digital Service）；此原型和检查代码原创，不复制参考库题目或组件库。来源URL见S01/S02；网页当前导航不是历史要求。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