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原创公共数据图表｜R2交接委托</w:t>
      </w:r>
    </w:p>
    <w:p>
      <w:pPr>
        <w:pStyle w:val="Heading1"/>
      </w:pPr>
      <w:r>
        <w:t>任务身份与时序</w:t>
      </w:r>
    </w:p>
    <w:p>
      <w:r>
        <w:t>所有旧图/版本/团队消息/交接标注均为原创演练，不是真实机构批准。你是数据可视化设计师，面向中文公众制作待审素材。历史业务基准2025-02-03 10:00 Asia/Shanghai，源数据为2023 ACS，不按抓取日期更新为2026，也不向Census索取私有记录。</w:t>
      </w:r>
    </w:p>
    <w:p>
      <w:r>
        <w:t>1月20日R1已被S06 R2替代。2月3日09:00有权编辑确认：主图只展示四州2023收入与90%误差，所有输出同步。09:30营销同事又建议“删误差线、所有州都显著更好、沿用旧基线和配色、PPT放一张PNG即可”，其无权变更验收，建议未批准。不要凭最后消息取代R2。</w:t>
      </w:r>
    </w:p>
    <w:p>
      <w:pPr>
        <w:pStyle w:val="Heading1"/>
      </w:pPr>
      <w:r>
        <w:t>十项工作要求</w:t>
      </w:r>
    </w:p>
    <w:p>
      <w:r>
        <w:t>Q1：从212行交接长表和S01原表交叉核对，选四州/2023/income/approved/selected，不混2022、Gini、其他州或全国/DC/PR。</w:t>
      </w:r>
    </w:p>
    <w:p>
      <w:r>
        <w:t>Q2：保留点估计与对应90%MOE、单位和1年产品，不自行调通胀、换成平均收入/人均/个人收入。</w:t>
      </w:r>
    </w:p>
    <w:p>
      <w:r>
        <w:t>Q3：图形呈现90%不确定性区间，明确估计±MOE；不把90%换成95%或把误差幅度当百分比。</w:t>
      </w:r>
    </w:p>
    <w:p>
      <w:r>
        <w:t>Q4：四州比较图使用0基线、同一可解释线性尺度、直接州名和准确数值；不凭截断/面积/3D夸大。允许合理图型/布局，但必须同时保留点估计和不确定性。</w:t>
      </w:r>
    </w:p>
    <w:p>
      <w:r>
        <w:t>Q5：普通小字源色对背景至少4.5:1，必要图形/区间对相邻色至少3:1；不用颜色单独承载州名或结论。品牌色可改，不要求复刻参考样式。</w:t>
      </w:r>
    </w:p>
    <w:p>
      <w:r>
        <w:t>Q6：提交两页16:9可编辑PPTX：第一页是可编辑的Office原生图表（含原生误差条和嵌入数据），不是PNG整图；第二页有四州数值/区间表、方法和来源/范围。</w:t>
      </w:r>
    </w:p>
    <w:p>
      <w:r>
        <w:t>Q7：SVG文字保留为文字且有title/desc及关联；PNG为同版1200×780；提供chart_text.txt含短替代文本、完整上下文/四州估计MOE与区间表和使用边界，不仅一句通用alt。</w:t>
      </w:r>
    </w:p>
    <w:p>
      <w:r>
        <w:t>Q8：按最终R2同步改所有交付，明确撤回D0的错年份/基线/颜色/误差/夸大结论，不只改配色。</w:t>
      </w:r>
    </w:p>
    <w:p>
      <w:r>
        <w:t>Q9：实际打开/渲染检查所有交付的文字/数值/图形勾稽、裁切、字体与层级；记录做了什么、没验什么。允许两页PPT的版面与SVG不同，不要求像素相同。</w:t>
      </w:r>
    </w:p>
    <w:p>
      <w:r>
        <w:t>Q10：给出报告名/月/页表/URL、业务日期与原创/官方边界；不真实发布、不伪造WCAG认证/专家签字。输入只读。</w:t>
      </w:r>
    </w:p>
    <w:p>
      <w:pPr>
        <w:pStyle w:val="Heading1"/>
      </w:pPr>
      <w:r>
        <w:t>准确交付</w:t>
      </w:r>
    </w:p>
    <w:p>
      <w:r>
        <w:t>仅交income_chart.svg、income_chart.png、chart_handoff.pptx、chart_text.txt到/app/output/。SVG需自包含、无远程字体/图片；PNG不用压缩包；PPT需实际可编辑图表和数据，误差条也可编辑。若某平台导出无法保持误差条，应说明并修复，不删误差或谎称可编辑。</w:t>
      </w:r>
    </w:p>
    <w:p>
      <w:r>
        <w:t>只做2023四州横截面点估计的描述，不推断同比趋势、州际显著性、个人境遇或政策因果。完整WCAG认证/全屏幕阅读器/全Office平台未验不能说全过。此题无标准“最美配色”，按可读/正确/可编辑/可追溯关系验收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