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原创委托｜服务站复盘演示无障碍修复与依赖交接</w:t>
      </w:r>
    </w:p>
    <w:p>
      <w:pPr>
        <w:pStyle w:val="Heading1"/>
      </w:pPr>
      <w:r>
        <w:t>使用者与范围</w:t>
      </w:r>
    </w:p>
    <w:p>
      <w:r>
        <w:t>你是服务站数字指引项目的演示设计与交接工程师。业务基准2026-10-20 16:00 Asia/Shanghai。所有服务记录、角色、批准范围、界面和项目均原创虚构，非真实政府数据或机构授权。专业设计依据是S16/S17真实微软/固定SDK资料，不能反过来把团队约束说成微软官方政策。</w:t>
      </w:r>
    </w:p>
    <w:p>
      <w:r>
        <w:t>当前D0有重复标题、倒序对象、图表与备注沿用旧口径及无测试证据的PASS。内容负责人R2要求去重并仅交内部复核；更晚商务消息要求旧数字和发布文案。请交能继续复核的原生PPT与可复现完整工程，而非几行题面或一张认证声明。</w:t>
      </w:r>
    </w:p>
    <w:p>
      <w:r>
        <w:t>可以在保留12页ID/必要内容/原生语义和约束下重建版式，不要求保持旧错误几何位置或逐句复刻参考答案。无需取得Windows/Mac或真实读屏；没有做的必须明确NOT_RUN/PENDING，后续人工测试为发布依赖，不是当前已通过。</w:t>
      </w:r>
    </w:p>
    <w:p>
      <w:pPr>
        <w:pStyle w:val="Heading1"/>
      </w:pPr>
      <w:r>
        <w:t>Q01</w:t>
      </w:r>
    </w:p>
    <w:p>
      <w:r>
        <w:t>核对R1/R2/较晚消息的日期、角色与授权，采用R2仅内部复核；分清业务时间/源抓取/真实运行，未知软件发布不补造。</w:t>
      </w:r>
    </w:p>
    <w:p>
      <w:pPr>
        <w:pStyle w:val="Heading1"/>
      </w:pPr>
      <w:r>
        <w:t>Q02</w:t>
      </w:r>
    </w:p>
    <w:p>
      <w:r>
        <w:t>保留12页业务内容、同一页ID及原生标题占位符，标题各不相同且有意义；不得只交截图或丢页。</w:t>
      </w:r>
    </w:p>
    <w:p>
      <w:pPr>
        <w:pStyle w:val="Heading1"/>
      </w:pPr>
      <w:r>
        <w:t>Q03</w:t>
      </w:r>
    </w:p>
    <w:p>
      <w:r>
        <w:t>按S03/S04去重规则复算月/季/全年，图表/表格/正文/替代描述/备注/工作簿使用同一口径，保留R1对照。</w:t>
      </w:r>
    </w:p>
    <w:p>
      <w:pPr>
        <w:pStyle w:val="Heading1"/>
      </w:pPr>
      <w:r>
        <w:t>Q04</w:t>
      </w:r>
    </w:p>
    <w:p>
      <w:r>
        <w:t>原生图表含两序列季度数量和可编辑嵌入工作簿；季度表用原生table，非图片替代，率用总分子/总分母。</w:t>
      </w:r>
    </w:p>
    <w:p>
      <w:pPr>
        <w:pStyle w:val="Heading1"/>
      </w:pPr>
      <w:r>
        <w:t>Q05</w:t>
      </w:r>
    </w:p>
    <w:p>
      <w:r>
        <w:t>按S10/S11完整重建可编辑六节点五转移流程，第三步疑问转人工，不声称自动批准。</w:t>
      </w:r>
    </w:p>
    <w:p>
      <w:pPr>
        <w:pStyle w:val="Heading1"/>
      </w:pPr>
      <w:r>
        <w:t>Q06</w:t>
      </w:r>
    </w:p>
    <w:p>
      <w:r>
        <w:t>修复信息对象顺序：标题先、正文或图表/表格/流程随后、说明/状态最后；纯装饰标记后不当信息，不能只按形状ID/颜色排列。</w:t>
      </w:r>
    </w:p>
    <w:p>
      <w:pPr>
        <w:pStyle w:val="Heading1"/>
      </w:pPr>
      <w:r>
        <w:t>Q07</w:t>
      </w:r>
    </w:p>
    <w:p>
      <w:r>
        <w:t>有含义的非文本图表/表格/流程分组/示意图提供反映当前数据与上下文的原生alt；不把信息对象标装饰或给所有正文重复alt。</w:t>
      </w:r>
    </w:p>
    <w:p>
      <w:pPr>
        <w:pStyle w:val="Heading1"/>
      </w:pPr>
      <w:r>
        <w:t>Q08</w:t>
      </w:r>
    </w:p>
    <w:p>
      <w:r>
        <w:t>纯装饰使用真实decorative属性或等价不承载信息的背景；空alt不等于装饰标记。重排/分组后核视觉，D0无动画，不引入或虚称动画/读屏已验。</w:t>
      </w:r>
    </w:p>
    <w:p>
      <w:pPr>
        <w:pStyle w:val="Heading1"/>
      </w:pPr>
      <w:r>
        <w:t>Q09</w:t>
      </w:r>
    </w:p>
    <w:p>
      <w:r>
        <w:t>遵守S07可读文字/高对比/不只颜色约束；无白字/越界隐要点；可用等价布局，保留可编辑性。</w:t>
      </w:r>
    </w:p>
    <w:p>
      <w:pPr>
        <w:pStyle w:val="Heading1"/>
      </w:pPr>
      <w:r>
        <w:t>Q10</w:t>
      </w:r>
    </w:p>
    <w:p>
      <w:r>
        <w:t>12页讲者备注落实R2、来源/状态/读屏未验；删除D0的无证据全部通过/可发布断言，不能只改可见正文。</w:t>
      </w:r>
    </w:p>
    <w:p>
      <w:pPr>
        <w:pStyle w:val="Heading1"/>
      </w:pPr>
      <w:r>
        <w:t>Q11</w:t>
      </w:r>
    </w:p>
    <w:p>
      <w:r>
        <w:t>提交自包含workflow.py，build/stage/verify按S19九节点真实依赖执行；节点/输入/中间产物/最终文件SHA与UTC真实记录。缺前置、变更源、变更上游或产物应返回非零且不得产生有效最终回执。</w:t>
      </w:r>
    </w:p>
    <w:p>
      <w:pPr>
        <w:pStyle w:val="Heading1"/>
      </w:pPr>
      <w:r>
        <w:t>Q12</w:t>
      </w:r>
    </w:p>
    <w:p>
      <w:r>
        <w:t>build实际生成12页PDF/PNG放独立WORK，检查文件结构/数据/边界，缺LibreOffice或pdftoppm报未运行；不以空文件或预写PASS代替执行。</w:t>
      </w:r>
    </w:p>
    <w:p>
      <w:pPr>
        <w:pStyle w:val="Heading1"/>
      </w:pPr>
      <w:r>
        <w:t>Q13</w:t>
      </w:r>
    </w:p>
    <w:p>
      <w:r>
        <w:t>review工作簿覆盖12页问题/修复/证据与未测责任人，含季度/全年公式可见缓存及版本边界；handoff说明实际做过、未做、复现命令和下一责任人。</w:t>
      </w:r>
    </w:p>
    <w:p>
      <w:pPr>
        <w:pStyle w:val="Heading1"/>
      </w:pPr>
      <w:r>
        <w:t>Q14</w:t>
      </w:r>
    </w:p>
    <w:p>
      <w:r>
        <w:t>合法内容负责人R3变更数据并更新SHA，须新目录全量重建，传播到图表/表格/alt/备注/工作簿/新回执；verify只读拒旧回执，不自动修好后谎报原版有效。</w:t>
      </w:r>
    </w:p>
    <w:p>
      <w:pPr>
        <w:pStyle w:val="Heading1"/>
      </w:pPr>
      <w:r>
        <w:t>Q15</w:t>
      </w:r>
    </w:p>
    <w:p>
      <w:r>
        <w:t>只交指定5个文件到/app/output/，不压缩/加密；输入/输出/WORK独立不嵌套，不复制Gold到输入；不真实外发，不伪造PowerPoint/真实读屏/专家/批准凭证。</w:t>
      </w:r>
    </w:p>
    <w:p>
      <w:pPr>
        <w:pStyle w:val="Heading1"/>
      </w:pPr>
      <w:r>
        <w:t>最终成果与环境</w:t>
      </w:r>
    </w:p>
    <w:p>
      <w:r>
        <w:t>repaired_deck.pptx；accessibility_review.xlsx；handoff.docx；workflow.py；release_receipt.json。实际PDF/PNG/节点等放WORK不加进最终输出。主工作流脚本可用python-pptx/openpyxl/python-docx/pypdf/cairosvg、LibreOffice Impress/Calc、pdftoppm；镜像预装。不访问真实业务API，不对外发送，不要求全文阅读原始开发工程参考库。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