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原创旧讲者稿｜R1未审</w:t>
      </w:r>
    </w:p>
    <w:p>
      <w:pPr>
        <w:pStyle w:val="Heading1"/>
      </w:pPr>
      <w:r>
        <w:t>S01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S02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S03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S04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S05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S06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S07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S08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S09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S10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S11</w:t>
      </w:r>
    </w:p>
    <w:p>
      <w:r>
        <w:t>原口径受理1620、完成1427、88.09%；直接发布，全部读屏测试通过。此为需要纠正的D0断言，没有实际测试证明。</w:t>
      </w:r>
    </w:p>
    <w:p>
      <w:pPr>
        <w:pStyle w:val="Heading1"/>
      </w:pPr>
      <w:r>
        <w:t>S12</w:t>
      </w:r>
    </w:p>
    <w:p>
      <w:r>
        <w:t>原口径受理1620、完成1427、88.09%；直接发布，全部读屏测试通过。此为需要纠正的D0断言，没有实际测试证明。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