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演示修复交接｜内部待审</w:t>
      </w:r>
    </w:p>
    <w:p>
      <w:pPr>
        <w:pStyle w:val="Heading1"/>
      </w:pPr>
      <w:r>
        <w:t>结论与数据</w:t>
      </w:r>
    </w:p>
    <w:p>
      <w:r>
        <w:t>采用R2。合格受理1580、合格完成1387、完成率87.78%，剔除重复完成记录40。原始1427/1620只作R1对照。指标文字、季度原生图表与表格、alt及讲者备注同源。全部业务为原创虚构，不是机构统计或因果效果。</w:t>
      </w:r>
    </w:p>
    <w:p>
      <w:pPr>
        <w:pStyle w:val="Heading1"/>
      </w:pPr>
      <w:r>
        <w:t>原生修复与可编辑性</w:t>
      </w:r>
    </w:p>
    <w:p>
      <w:r>
        <w:t>12页独特标题与真实标题占位符；信息对象按标题→正文/图表/表格/分组→状态页脚顺序，纯装饰条使用真实decorative扩展。季度图为原生chart及嵌入数据，季度表原生table，六步图为可编辑group；示意图有上下文alt，文字对象不重复堆alt。背景不盖正文，不用白字/移出画布隐藏重要标题。</w:t>
      </w:r>
    </w:p>
    <w:p>
      <w:pPr>
        <w:pStyle w:val="Heading1"/>
      </w:pPr>
      <w:r>
        <w:t>权限与时间</w:t>
      </w:r>
    </w:p>
    <w:p>
      <w:r>
        <w:t>R1草稿不再是当前口径；S05内容负责人仅有内部内容修订权限，S09更晚商务建议无权恢复原数字或把状态改为已发布。业务基准2026-10-20 16:00 Asia/Shanghai；真实网页抓取与运行UTC另存，未知官方发布日期不补造。角色和hash仅是题内材料/字节绑定，不是可认证的真实签章。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事件/依据</w:t>
            </w:r>
          </w:p>
        </w:tc>
        <w:tc>
          <w:tcPr>
            <w:tcW w:type="dxa" w:w="2880"/>
          </w:tcPr>
          <w:p>
            <w:r>
              <w:t>原日期（Asia/Shanghai）</w:t>
            </w:r>
          </w:p>
        </w:tc>
        <w:tc>
          <w:tcPr>
            <w:tcW w:type="dxa" w:w="2880"/>
          </w:tcPr>
          <w:p>
            <w:r>
              <w:t>角色、范围与采用处理</w:t>
            </w:r>
          </w:p>
        </w:tc>
      </w:tr>
      <w:tr>
        <w:tc>
          <w:tcPr>
            <w:tcW w:type="dxa" w:w="2880"/>
          </w:tcPr>
          <w:p>
            <w:r>
              <w:t>R1｜S06</w:t>
            </w:r>
          </w:p>
        </w:tc>
        <w:tc>
          <w:tcPr>
            <w:tcW w:type="dxa" w:w="2880"/>
          </w:tcPr>
          <w:p>
            <w:r>
              <w:t>2026-10-13 10:00</w:t>
            </w:r>
          </w:p>
        </w:tc>
        <w:tc>
          <w:tcPr>
            <w:tcW w:type="dxa" w:w="2880"/>
          </w:tcPr>
          <w:p>
            <w:r>
              <w:t>设计助理；未去重；旧稿未审批；未审批旧稿</w:t>
            </w:r>
          </w:p>
        </w:tc>
      </w:tr>
      <w:tr>
        <w:tc>
          <w:tcPr>
            <w:tcW w:type="dxa" w:w="2880"/>
          </w:tcPr>
          <w:p>
            <w:r>
              <w:t>R2｜S06</w:t>
            </w:r>
          </w:p>
        </w:tc>
        <w:tc>
          <w:tcPr>
            <w:tcW w:type="dxa" w:w="2880"/>
          </w:tcPr>
          <w:p>
            <w:r>
              <w:t>2026-10-17 15:30</w:t>
            </w:r>
          </w:p>
        </w:tc>
        <w:tc>
          <w:tcPr>
            <w:tcW w:type="dxa" w:w="2880"/>
          </w:tcPr>
          <w:p>
            <w:r>
              <w:t>内容负责人；采用去重；仅内部复核；仅内部复核批准</w:t>
            </w:r>
          </w:p>
        </w:tc>
      </w:tr>
      <w:tr>
        <w:tc>
          <w:tcPr>
            <w:tcW w:type="dxa" w:w="2880"/>
          </w:tcPr>
          <w:p>
            <w:r>
              <w:t>M-LATE｜S06</w:t>
            </w:r>
          </w:p>
        </w:tc>
        <w:tc>
          <w:tcPr>
            <w:tcW w:type="dxa" w:w="2880"/>
          </w:tcPr>
          <w:p>
            <w:r>
              <w:t>2026-10-19 09:00</w:t>
            </w:r>
          </w:p>
        </w:tc>
        <w:tc>
          <w:tcPr>
            <w:tcW w:type="dxa" w:w="2880"/>
          </w:tcPr>
          <w:p>
            <w:r>
              <w:t>商务联络；恢复原数字并声称已发布；无权覆盖/外发</w:t>
            </w:r>
          </w:p>
        </w:tc>
      </w:tr>
    </w:tbl>
    <w:p>
      <w:r>
        <w:t>业务复核基准：2026-10-20 16:00 Asia/Shanghai；它不是任一文件签发/批准日。源取得：S16仅给2026-10-20/21日期范围；逐源精确UTC未知，不由当前运行时间补造。未知专业文档发布日期/起施日仍未知。</w:t>
      </w:r>
    </w:p>
    <w:p>
      <w:r>
        <w:t>本次程序开始UTC：2026-10-21T03:11:29.144392+00:00；实际渲染UTC：2026-10-21T03:11:34.847792+00:00。这是作者真实执行时点，和上表原始修订事件、业务复核基准及S16来源取得分别记录，不伪装成历史现场测试。</w:t>
      </w:r>
    </w:p>
    <w:p>
      <w:r>
        <w:br w:type="page"/>
      </w:r>
    </w:p>
    <w:p>
      <w:pPr>
        <w:pStyle w:val="Heading1"/>
      </w:pPr>
      <w:r>
        <w:t>实际做过与没有做过</w:t>
      </w:r>
    </w:p>
    <w:p>
      <w:r>
        <w:t>实际执行OOXML结构、原生数据勾稽、LibreOffice的12页PDF与PNG导出，详细见WORK/render和release_receipt。没有执行Windows/Mac PowerPoint Accessibility Checker、真实屏幕阅读器、PDF/UA认证、真实用户研究或外部发布批准。不得把缺失测试填写通过。结构/几何检查不证明所有视觉排版和AT体验正确。</w:t>
      </w:r>
    </w:p>
    <w:p>
      <w:pPr>
        <w:pStyle w:val="Heading1"/>
      </w:pPr>
      <w:r>
        <w:t>依赖与复现</w:t>
      </w:r>
    </w:p>
    <w:p>
      <w:r>
        <w:t>workflow.py build --input-dir INPUT --output-dir NEW_OUTPUT --work-dir NEW_WORK；verify使用同参数只读检查。stage --name N0_freeze等按S19依赖执行，缺前置即失败，WORK/输入/输出必须分开且不嵌套。输出只保留指定5文件，PDF/PNG/节点放WORK，不把运行中间件冒最终交付。需python-pptx、openpyxl、python-docx、pypdf、cairosvg、LibreOffice Impress/Calc和pdftoppm。</w:t>
      </w:r>
    </w:p>
    <w:p>
      <w:pPr>
        <w:pStyle w:val="Heading1"/>
      </w:pPr>
      <w:r>
        <w:t>变更与下一责任人</w:t>
      </w:r>
    </w:p>
    <w:p>
      <w:r>
        <w:t>数据负责人核对去重字段与输入哈希，设计师查12页视觉/叠放/替代描述，使用目标PowerPoint和屏幕阅读器逐页验证再交有权负责人决定发布。合法R3更新须绑定新数据并新目录全量重建，图/表/alt/备注/工作簿与新回执一起更新；旧回执必须失效，不可只改文字。缺依赖/工具时报错不产发布通过。</w:t>
      </w:r>
    </w:p>
    <w:p>
      <w:pPr>
        <w:pStyle w:val="Heading1"/>
      </w:pPr>
      <w:r>
        <w:t>专业依据与局限</w:t>
      </w:r>
    </w:p>
    <w:p>
      <w:r>
        <w:t>S16微软阅读顺序/alt/形状树/非视觉属性文档；S17固定Open XML SDK v3.0.1描述和S18 MIT许可。spTree词法顺序可证层叠与导航，不单凭它宣称所有PowerPoint版本的真实读屏结果；decorative来自官方类型/SDK子元素与实际PPT标记的结构对照。示意图原创，不加载外部资源，不含真实个人信息。</w:t>
      </w:r>
    </w:p>
    <w:sectPr w:rsidR="00FC693F" w:rsidRPr="0006063C" w:rsidSect="00034616">
      <w:pgSz w:w="12240" w:h="15840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