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原创投行资料质控委托：选择合适Skill并形成待审工作包</w:t>
      </w:r>
    </w:p>
    <w:p>
      <w:pPr>
        <w:pStyle w:val="Heading1"/>
      </w:pPr>
      <w:r>
        <w:t>场景与授权</w:t>
      </w:r>
    </w:p>
    <w:p>
      <w:r>
        <w:t>你是投行项目资料质控分析员，在2023-09-05 10:00 Asia/Shanghai做沪深IPO历史训练回放，不作发行条件全面核查或正式法律意见。项目A–I、登记、消息和团队Skill均为原创，官方条文见S01/S02。S04只提供训练日期/版本记录，不是假造真实财务报表。</w:t>
      </w:r>
    </w:p>
    <w:p>
      <w:r>
        <w:t>8月31日助理只算最后签署日，并沿用2020以前最多延1个月的旧记忆。9月4日销售经理建议所有报表按9个月自动有效、可用报告出具日重算。9月5日09:00项目质控负责人要求分开核对两时钟、延期证据与缺件，并从可用Skill中自行选择覆盖该组合工作流的一个；销售无权改变规则或确认监管程序已完成。</w:t>
      </w:r>
    </w:p>
    <w:p>
      <w:pPr>
        <w:pStyle w:val="Heading1"/>
      </w:pPr>
      <w:r>
        <w:t>本地演练日期约定（非新增法定期间规则）</w:t>
      </w:r>
    </w:p>
    <w:p>
      <w:r>
        <w:t>本题按原始日期直接加6或9个日历月；目标月没有同日则取月末，不加180天、不按工作日、不先把6月结果夹到月末再加3月。理论9月上限只是上限，不是自动延长。没有具体法定期间末日/休假顺延材料，恰到核对日期只列BOUNDARY_REVIEW请专业复核，不武断断言最后一日必定可用或不可用。</w:t>
      </w:r>
    </w:p>
    <w:p>
      <w:r>
        <w:t>财务时钟从最近一期财务截止日起，不从审计报告出具日或签署日重置；签署时钟单独起算。缺日期保留缺件，不反推。财务截止须为年度/半年/季度末；S04的G和I故意不是，需标INVALID_PERIOD_END，不为了凑有效改输入。</w:t>
      </w:r>
    </w:p>
    <w:p>
      <w:r>
        <w:t>延期仅在超过正常6个月后，给定有project_legal核验、记录号非空且记载期限不超理论上限时，才按本地演练假设进入已给证据分支；销售申请不够。C的依据只按S05给定事实使用；D虽标verified，超上限仍须阻断核查。财务与签署任何一项异常都应安排补件/复核，不以其中一项正常作整体发行放行。</w:t>
      </w:r>
    </w:p>
    <w:p>
      <w:pPr>
        <w:pStyle w:val="Heading1"/>
      </w:pPr>
      <w:r>
        <w:t>Skill发现与交付</w:t>
      </w:r>
    </w:p>
    <w:p>
      <w:r>
        <w:t>浏览可用Skill的名称/描述并核读候选入口，选择覆盖本次组合任务的一个；说明其他Skill为何仅是局部或历史用途，不要求全部运行。实际通过所选Skill生成skill_evidence.json，保留真实输入与Skill文件哈希及未授权发行状态。不要只写“用了Skill”，也不改造目录来伪装选对。</w:t>
      </w:r>
    </w:p>
    <w:p>
      <w:r>
        <w:t>交document_worklist.xlsx、control_memo.docx、skill_evidence.json。工作簿逐行保留S04原始日期/延期登记、财务正常核对日/理论上限、签署核对日、两类状态和下一动作/责任人。日期派生用可复算公式，打开有缓存值；无效期末/缺失财务日期不生成误导性财务核对日期。状态可引用真实Skill结果，但不要求重新实现脚本。</w:t>
      </w:r>
    </w:p>
    <w:p>
      <w:r>
        <w:t>备忘写明选择理由、历史条号/2023版本、两起算点及延期不自动、9例处置要点、C/D/B/F的具体纠错、缺证/专业边界及审批动作。所有产物为待审训练包，不实际提交、联络监管、执行中止/终止、承诺发行或专家认证。</w:t>
      </w:r>
    </w:p>
    <w:p>
      <w:r>
        <w:t>只使用冻结材料，不要求联网。依据第26/30/31条提示可能涉及补充/程序处理并交负责人依法核查；不要把“财务资料过期”直接等同已发生终止程序，也不要把可申请恢复说成系统自动恢复。</w:t>
      </w:r>
    </w:p>
    <w:sectPr w:rsidR="00FC693F" w:rsidRPr="0006063C" w:rsidSect="00034616">
      <w:footerReference w:type="default" r:id="rId9"/>
      <w:pgSz w:w="12240" w:h="15840"/>
      <w:pgMar w:top="1134" w:right="1800" w:bottom="113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本文件按题包冻结材料编制；不构成真实机构审批或专业认证。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