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沪深IPO资料有效期双时钟核对与Skill选择备忘</w:t>
      </w:r>
    </w:p>
    <w:p>
      <w:pPr>
        <w:pStyle w:val="Heading1"/>
      </w:pPr>
      <w:r>
        <w:t>选择及权限</w:t>
      </w:r>
    </w:p>
    <w:p>
      <w:r>
        <w:t>业务基准2023-09-05 10:00 Asia/Shanghai，所有项目为原创训练记录。选择ipo-document-control：同时处理经审计财务截止、最后签署、适用延期证据和缺件/异常，已真实执行脚本生成skill_evidence.json。输入和Skill三文件哈希见该文件；本稿仅为资料质控，不代表已取得监管许可。</w:t>
      </w:r>
    </w:p>
    <w:p>
      <w:r>
        <w:t>prospectus-signature-check只覆盖签署时钟；star-financial-history只用于2020修订沿革；filing-response-calendar需要工作日SLA/节假日表，非本题日历月有效期。它们可作辅助理解，但不能替代本次组合控制，不需为凑调用全部运行。</w:t>
      </w:r>
    </w:p>
    <w:p>
      <w:pPr>
        <w:pStyle w:val="Heading1"/>
      </w:pPr>
      <w:r>
        <w:t>适用规则与时间线</w:t>
      </w:r>
    </w:p>
    <w:p>
      <w:r>
        <w:t>S01是2023-02-17公布施行的第205号令，第46条分开规定招股书最后签署日起6个月和引用经审计财务报表最近一期截止日后6个月；特殊情况财务可适当延长但最多3个月。第71条废止旧主板/科创板/创业板办法。第2条范围是沪深IPO，不自动扩到北交所或其他证券。</w:t>
      </w:r>
    </w:p>
    <w:p>
      <w:r>
        <w:t>S02 2020-07-10新闻说明旧上限从1个月改为3个月；5月15日至6月15日是征求意见，不是该正式修改起施日。2023仍用旧1月上限、旧条号或者只援引2020新闻作为现时全套依据都不合适。</w:t>
      </w:r>
    </w:p>
    <w:p>
      <w:r>
        <w:t>财务正常核对日从财务截止算，不从报告出具/最后签署重置。理论9月日期不是授予延期；B只有销售申请，不能宣布已延。C按S05明确给定证据至9月15日，但签署3月1日的核对日9月1日已过；财务有依据并不救回签署。D记载10月15日超过12月31日基数的理论9月30日上限，标verified也不能放行。</w:t>
      </w:r>
    </w:p>
    <w:p>
      <w:r>
        <w:t>月份/临界日是S03明确演练约定，不冒充完整法定期间规则；临界日、节假日顺延等缺依据时交法务核查。任何日期正常也不是整体发行授权。</w:t>
      </w:r>
    </w:p>
    <w:p>
      <w:pPr>
        <w:pStyle w:val="Heading1"/>
      </w:pPr>
      <w:r>
        <w:t>九例处置</w:t>
      </w:r>
    </w:p>
    <w:p>
      <w:r>
        <w:t>F财务截止2023-03-31，正常核对日2023-09-30，理论上限2023-12-31；报告8月20日和签署8月21日不能把财务钟重置为2024。E缺截止，H缺签署，分别补件；G和I非季度末，保留原记录并核查，不改造成季度末。具体两个时钟与公式见工作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4309"/>
        <w:gridCol w:w="4422"/>
      </w:tblGrid>
      <w:tr>
        <w:trPr>
          <w:cantSplit/>
          <w:tblHeader/>
        </w:trPr>
        <w:tc>
          <w:tcPr>
            <w:tcW w:type="dxa" w:w="624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财务状态 / 签署状态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下一动作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CURRENT_BY_PACKET / CURRENT_BY_PACKET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质控分析员保留日期核对；负责人结合另一时钟复核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EXTENSION_UNCONFIRMED / CURRENT_BY_PACKET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项目法务补取并核验适用延期依据；否则更新财务材料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EXTENDED_BY_GIVEN_EVIDENCE / UPDATE_SIGNATURE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按S05给定依据核对，同时更新/确认签署时钟；签署负责人补件/重签或核对签署依据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EXTENSION_LIMIT_BREACH / CURRENT_BY_PACKET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项目法务回查超上限登记，不使用该记载作有效依据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MISSING_CUTOFF / CURRENT_BY_PACKET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财务联系人补原始财务截止/版本，不据报告日反推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CURRENT_BY_PACKET / CURRENT_BY_PACKET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质控分析员保留日期核对；负责人结合另一时钟复核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INVALID_PERIOD_END / CURRENT_BY_PACKET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财务联系人核对真实报告期末，不改原记录伪造季度末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CURRENT_BY_PACKET / MISSING_SIGNATURE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质控分析员保留日期核对；负责人结合另一时钟复核；签署负责人补件/重签或核对签署依据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INVALID_PERIOD_END / BOUNDARY_REVIEW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财务联系人核对真实报告期末，不改原记录伪造季度末；签署负责人补件/重签或核对签署依据</w:t>
            </w:r>
          </w:p>
        </w:tc>
      </w:tr>
    </w:tbl>
    <w:p>
      <w:pPr>
        <w:pStyle w:val="Heading1"/>
      </w:pPr>
      <w:r>
        <w:t>未验范围与执行顺序</w:t>
      </w:r>
    </w:p>
    <w:p>
      <w:r>
        <w:t>项目法务先核实B/C/D延期记录与适用程序，财务联系人更新缺失/异常报告期，签署负责人处理C/H等签署问题；质控负责人核对两类状态、材料版本和依据，再决定是否进入下一内部环节。S05只为训练给定，不是作者取得真实外部确认。</w:t>
      </w:r>
    </w:p>
    <w:p>
      <w:r>
        <w:t>第26条涉及注册后上市前资料更新；第30/31条分别涉及中止及特定终止情形。发现过期应及时交负责人核查和补充，不能直接说“已终止”、自动恢复或允许继续发行。未核查发行条件、上市条件、审计真实性、真实审批/节假日顺延；没有真实递交、监管联络、专家认证或发行批准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