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微软FY25年度分部可比增长更正备忘</w:t>
      </w:r>
    </w:p>
    <w:p>
      <w:pPr>
        <w:pStyle w:val="Heading1"/>
      </w:pPr>
      <w:r>
        <w:t>研究口径与权限</w:t>
      </w:r>
    </w:p>
    <w:p>
      <w:r>
        <w:t>业务基准2025-08-05 09:00 Asia/Shanghai。依据8月4日研究负责人委托和8月5日补充，现时主结论采用FY25公开表中重述后的FY24比较期。8月4日晚销售建议没有更改研究口径权限。旧版只留作有标签诊断，不删除历史记录。</w:t>
      </w:r>
    </w:p>
    <w:p>
      <w:r>
        <w:t>两页表为截至6月30日的整财年、单位百万美元，不是单季或自然年；页名Q4不改变Year Ended表头。冻结检索日不是披露日。</w:t>
      </w:r>
    </w:p>
    <w:p>
      <w:pPr>
        <w:pStyle w:val="Heading1"/>
      </w:pPr>
      <w:r>
        <w:t>数据、桥接与现时结论</w:t>
      </w:r>
    </w:p>
    <w:p>
      <w:r>
        <w:t>三分部FY24收入重述差合计0，营业利润重述差合计0；合并FY24收入245,122、营业利润109,433不变。重述差是同一历史年度在不同分部披露口径下的重分布，不是2025实际新增业绩。详细输入定位和公式见工作簿。</w:t>
      </w:r>
    </w:p>
    <w:p>
      <w:r>
        <w:t>例如PBP误用旧FY24基数的FY25收入同比为55.43%，同口径为13.10%，误差为42.33个百分点。不能把错误的55%以上当自然增长。其他分部/利润误差在FY25同比工作表完整列出。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分部</w:t>
            </w:r>
          </w:p>
        </w:tc>
        <w:tc>
          <w:tcPr>
            <w:tcW w:type="dxa" w:w="1728"/>
          </w:tcPr>
          <w:p>
            <w:r>
              <w:t>FY24收入旧→重述/差</w:t>
            </w:r>
          </w:p>
        </w:tc>
        <w:tc>
          <w:tcPr>
            <w:tcW w:type="dxa" w:w="1728"/>
          </w:tcPr>
          <w:p>
            <w:r>
              <w:t>FY24利润旧→重述/差</w:t>
            </w:r>
          </w:p>
        </w:tc>
        <w:tc>
          <w:tcPr>
            <w:tcW w:type="dxa" w:w="1728"/>
          </w:tcPr>
          <w:p>
            <w:r>
              <w:t>FY25收入同比（同口径）</w:t>
            </w:r>
          </w:p>
        </w:tc>
        <w:tc>
          <w:tcPr>
            <w:tcW w:type="dxa" w:w="1728"/>
          </w:tcPr>
          <w:p>
            <w:r>
              <w:t>FY25利润同比（同口径）</w:t>
            </w:r>
          </w:p>
        </w:tc>
      </w:tr>
      <w:tr>
        <w:tc>
          <w:tcPr>
            <w:tcW w:type="dxa" w:w="1728"/>
          </w:tcPr>
          <w:p>
            <w:r>
              <w:t>Productivity and Business Processes</w:t>
            </w:r>
          </w:p>
        </w:tc>
        <w:tc>
          <w:tcPr>
            <w:tcW w:type="dxa" w:w="1728"/>
          </w:tcPr>
          <w:p>
            <w:r>
              <w:t>77,728 → 106,820 / +29,092</w:t>
            </w:r>
          </w:p>
        </w:tc>
        <w:tc>
          <w:tcPr>
            <w:tcW w:type="dxa" w:w="1728"/>
          </w:tcPr>
          <w:p>
            <w:r>
              <w:t>40,540 → 59,661 / +19,121</w:t>
            </w:r>
          </w:p>
        </w:tc>
        <w:tc>
          <w:tcPr>
            <w:tcW w:type="dxa" w:w="1728"/>
          </w:tcPr>
          <w:p>
            <w:r>
              <w:t>13.10%</w:t>
            </w:r>
          </w:p>
        </w:tc>
        <w:tc>
          <w:tcPr>
            <w:tcW w:type="dxa" w:w="1728"/>
          </w:tcPr>
          <w:p>
            <w:r>
              <w:t>16.95%</w:t>
            </w:r>
          </w:p>
        </w:tc>
      </w:tr>
      <w:tr>
        <w:tc>
          <w:tcPr>
            <w:tcW w:type="dxa" w:w="1728"/>
          </w:tcPr>
          <w:p>
            <w:r>
              <w:t>Intelligent Cloud</w:t>
            </w:r>
          </w:p>
        </w:tc>
        <w:tc>
          <w:tcPr>
            <w:tcW w:type="dxa" w:w="1728"/>
          </w:tcPr>
          <w:p>
            <w:r>
              <w:t>105,362 → 87,464 / -17,898</w:t>
            </w:r>
          </w:p>
        </w:tc>
        <w:tc>
          <w:tcPr>
            <w:tcW w:type="dxa" w:w="1728"/>
          </w:tcPr>
          <w:p>
            <w:r>
              <w:t>49,584 → 37,813 / -11,771</w:t>
            </w:r>
          </w:p>
        </w:tc>
        <w:tc>
          <w:tcPr>
            <w:tcW w:type="dxa" w:w="1728"/>
          </w:tcPr>
          <w:p>
            <w:r>
              <w:t>21.50%</w:t>
            </w:r>
          </w:p>
        </w:tc>
        <w:tc>
          <w:tcPr>
            <w:tcW w:type="dxa" w:w="1728"/>
          </w:tcPr>
          <w:p>
            <w:r>
              <w:t>17.92%</w:t>
            </w:r>
          </w:p>
        </w:tc>
      </w:tr>
      <w:tr>
        <w:tc>
          <w:tcPr>
            <w:tcW w:type="dxa" w:w="1728"/>
          </w:tcPr>
          <w:p>
            <w:r>
              <w:t>More Personal Computing</w:t>
            </w:r>
          </w:p>
        </w:tc>
        <w:tc>
          <w:tcPr>
            <w:tcW w:type="dxa" w:w="1728"/>
          </w:tcPr>
          <w:p>
            <w:r>
              <w:t>62,032 → 50,838 / -11,194</w:t>
            </w:r>
          </w:p>
        </w:tc>
        <w:tc>
          <w:tcPr>
            <w:tcW w:type="dxa" w:w="1728"/>
          </w:tcPr>
          <w:p>
            <w:r>
              <w:t>19,309 → 11,959 / -7,350</w:t>
            </w:r>
          </w:p>
        </w:tc>
        <w:tc>
          <w:tcPr>
            <w:tcW w:type="dxa" w:w="1728"/>
          </w:tcPr>
          <w:p>
            <w:r>
              <w:t>7.50%</w:t>
            </w:r>
          </w:p>
        </w:tc>
        <w:tc>
          <w:tcPr>
            <w:tcW w:type="dxa" w:w="1728"/>
          </w:tcPr>
          <w:p>
            <w:r>
              <w:t>18.45%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245,122 → 245,122 / +0</w:t>
            </w:r>
          </w:p>
        </w:tc>
        <w:tc>
          <w:tcPr>
            <w:tcW w:type="dxa" w:w="1728"/>
          </w:tcPr>
          <w:p>
            <w:r>
              <w:t>109,433 → 109,433 / +0</w:t>
            </w:r>
          </w:p>
        </w:tc>
        <w:tc>
          <w:tcPr>
            <w:tcW w:type="dxa" w:w="1728"/>
          </w:tcPr>
          <w:p>
            <w:r>
              <w:t>14.93%</w:t>
            </w:r>
          </w:p>
        </w:tc>
        <w:tc>
          <w:tcPr>
            <w:tcW w:type="dxa" w:w="1728"/>
          </w:tcPr>
          <w:p>
            <w:r>
              <w:t>17.45%</w:t>
            </w:r>
          </w:p>
        </w:tc>
      </w:tr>
    </w:tbl>
    <w:p>
      <w:pPr>
        <w:pStyle w:val="Heading1"/>
      </w:pPr>
      <w:r>
        <w:t>证据边界与后续行动</w:t>
      </w:r>
    </w:p>
    <w:p>
      <w:r>
        <w:t>FY25原文仅说明recast是为了与内部管理和监控方式一致。两表不能确定具体产品归属变化、并购或汇率贡献，亦不足以衡量有机增长。请补充发行人正式分部重述说明后再研究这些归因；当前不作无据拆分。</w:t>
      </w:r>
    </w:p>
    <w:p>
      <w:r>
        <w:t>先撤下使用旧基数作为主结论的草稿，研究负责人复核工作簿与本备忘后，再由销售替换客户草稿。附带更正邮件只是待审核文本，没有实际发送，不代表发行人合规认证或投资建议。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