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H事项｜三份原创变更文件摘录</w:t>
      </w:r>
    </w:p>
    <w:p>
      <w:pPr>
        <w:pStyle w:val="Heading1"/>
      </w:pPr>
      <w:r>
        <w:t>训练材料性质</w:t>
      </w:r>
    </w:p>
    <w:p>
      <w:r>
        <w:t>仅为对象H提供三份原创未审摘录，无真实机构、公章、签名或协会回执；本题只核给定材料组是否齐，不可视为完整合同、有效签章或全套实体审查。H基金2023-09-20已备案为给定情境，非作者真实查询。</w:t>
      </w:r>
    </w:p>
    <w:p>
      <w:pPr>
        <w:pStyle w:val="Heading1"/>
      </w:pPr>
      <w:r>
        <w:t>H-D1：变更决议摘录</w:t>
      </w:r>
    </w:p>
    <w:p>
      <w:r>
        <w:t>2023-09-28，给定投资者决策记录决定将H基金托管人由托管人甲变更为托管人乙，并交运营按合同程序落实；没有记载已向协会办理完毕。</w:t>
      </w:r>
    </w:p>
    <w:p>
      <w:pPr>
        <w:pStyle w:val="Heading1"/>
      </w:pPr>
      <w:r>
        <w:t>H-D2：变更事项说明摘录</w:t>
      </w:r>
    </w:p>
    <w:p>
      <w:r>
        <w:t>本次事项为托管人变更，非管理人实际控制权变更、基金类型变更或仅继续原投资运作。拟于2023-09-29整理待审变更材料，原备案不被当作免新变更要求的依据。</w:t>
      </w:r>
    </w:p>
    <w:p>
      <w:pPr>
        <w:pStyle w:val="Heading1"/>
      </w:pPr>
      <w:r>
        <w:t>H-D3：托管人变更协议摘录</w:t>
      </w:r>
    </w:p>
    <w:p>
      <w:r>
        <w:t>给定原、新托管安排已就资料交接、资金核对与交接前后责任划分形成待审约定摘录；该摘录不是重新签订的新托管协议，也不是新基金合同。H-D4组在S06明确缺失，不能从此段推定已存在。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