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D0客服草稿｜待纠错，不是规范</w:t>
      </w:r>
    </w:p>
    <w:p>
      <w:pPr>
        <w:pStyle w:val="Heading1"/>
      </w:pPr>
      <w:r>
        <w:t>2025-09-05 08:00 客服原稿</w:t>
      </w:r>
    </w:p>
    <w:p>
      <w:r>
        <w:t>所有家庭都统一按2024年1月1日全国开办处理；没参加基本保险也能开。每人再缴12000就一定退税3600。</w:t>
      </w:r>
    </w:p>
    <w:p>
      <w:r>
        <w:t>39号7月已发，F04在8月就能按失业条款领。F05/F06流水各12笔，全部通过；顾问可以替社保批准。</w:t>
      </w:r>
    </w:p>
    <w:p>
      <w:r>
        <w:t>Y基金赎回费0，F07立即到账5820；满一年F09可直接买房；F10合计12000立刻净到11640。</w:t>
      </w:r>
    </w:p>
    <w:p>
      <w:r>
        <w:t>F08到年龄不征税；F11只能按月；F12过去低保领过就永久有领取状态。所有养老金都有7天无损撤单冷静期，养老名称代表本金安全。</w:t>
      </w:r>
    </w:p>
    <w:p>
      <w:pPr>
        <w:pStyle w:val="Heading1"/>
      </w:pPr>
      <w:r>
        <w:t>使用边界</w:t>
      </w:r>
    </w:p>
    <w:p>
      <w:r>
        <w:t>以上均为原创待审草稿，不是官方/机构有效规定；不得复制为客户最终答复。需对实质错误做可追溯更正，不要求保留其版式。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