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家庭答复｜待负责人审核模板</w:t>
      </w:r>
    </w:p>
    <w:p>
      <w:pPr>
        <w:pStyle w:val="Heading1"/>
      </w:pPr>
      <w:r>
        <w:t>每案可直接填写的结构</w:t>
      </w:r>
    </w:p>
    <w:p>
      <w:r>
        <w:t>事项ID / 对应来询业务日期</w:t>
      </w:r>
    </w:p>
    <w:p>
      <w:r>
        <w:t>给家庭的直接答复（不用内部路由代码代替）</w:t>
      </w:r>
    </w:p>
    <w:p>
      <w:r>
        <w:t>已给事实与适用材料条/页定位</w:t>
      </w:r>
    </w:p>
    <w:p>
      <w:r>
        <w:t>可做/不能承诺什么；金额演示的前提</w:t>
      </w:r>
    </w:p>
    <w:p>
      <w:r>
        <w:t>下一步需要什么、由谁核实/选择；本稿未发送</w:t>
      </w:r>
    </w:p>
    <w:p>
      <w:pPr>
        <w:pStyle w:val="Heading1"/>
      </w:pPr>
      <w:r>
        <w:t>沟通原则</w:t>
      </w:r>
    </w:p>
    <w:p>
      <w:r>
        <w:t>不对家庭展示其他家庭资料；不堆政策全文取代答复；避免把初筛称批准、把税前扣除称确定退款或把基金快照称现金。未知产品撤单权利与机构流程明确待核，不编电话回复、真实客户隐私或签字。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