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负责人交接｜历史答复纠错与待核问题</w:t>
      </w:r>
    </w:p>
    <w:p>
      <w:r>
        <w:t>2025-09-05 10:00 Asia/Shanghai。12案均为原创训练访谈；专业依据是真实官方文本/真实产品概要，实际取证2026-10-21不等于其历史发布日。本包仅内部待审，未发送、未开户、未申请、未批准或完成实际付款。D0的保证退税3600应删除：税前扣除不是退款，缺完整税基不能确定退税额。</w:t>
      </w:r>
    </w:p>
    <w:p>
      <w:pPr>
        <w:pStyle w:val="Heading1"/>
      </w:pPr>
      <w:r>
        <w:t>恢复经过与证据</w:t>
      </w:r>
    </w:p>
    <w:p>
      <w:r>
        <w:t>默认导出实际返回2/BLOCKED_SOURCE_MISSING，没有产生JSON。随后核对S10登记、备份SHA/列名/12案完整性，以--source指向原版授权备份实际成功返回0。execution_evidence.json保留本机真实argv/UTC/stdout/stderr与完整导出，不冒充容器solver或社保记录；没有修改只读源、虚构替代数据或反复请求缺失文件。</w:t>
      </w:r>
    </w:p>
    <w:p>
      <w:pPr>
        <w:pStyle w:val="Heading1"/>
      </w:pPr>
      <w:r>
        <w:t>关键纠错与传播位置</w:t>
      </w:r>
    </w:p>
    <w:p>
      <w:r>
        <w:t>扩围：2024-12-15起，参加两类基本养老保险的劳动者均可参加。影响F01/F02/F03；成文12-10/网页12-12/扩围12-15不是同一天。定位S01一（一）；工作簿“规则与D0更正”、对应“案件分流”及家庭稿同ID。</w:t>
      </w:r>
    </w:p>
    <w:p>
      <w:r>
        <w:t>税收：2024-01-01全国递延纳税；实际缴费按12000/年限额据实扣除；平台凭证。影响F01/F02；税收起点不创造实际开户/缴费；扣除额不是退款额。定位S02一/二；工作簿“规则与D0更正”、对应“案件分流”及家庭稿同ID。</w:t>
      </w:r>
    </w:p>
    <w:p>
      <w:r>
        <w:t>领取新情形：2024原则写具体办法另定；39号2025-09-01实施。影响F04/F05；成文2025-07-13不等于8月已可按本通知办理。定位S01四（一）；S03一/七；工作簿“规则与D0更正”、对应“案件分流”及家庭稿同ID。</w:t>
      </w:r>
    </w:p>
    <w:p>
      <w:r>
        <w:t>失业窗口：申请日前2年领取失业保险金累计达到12个月。影响F04–F07/F10；不按历史总笔数，F06旧1笔在窗口外。定位S03一（五）；工作簿“规则与D0更正”、对应“案件分流”及家庭稿同ID。</w:t>
      </w:r>
    </w:p>
    <w:p>
      <w:r>
        <w:t>领取程序：社保核实→平台领取状态→银行代扣税→本人社保卡银行账户。影响F05/F08/F10/F11；顾问初筛不能批准、确认已到账或替本人选方式。定位S03三；S02二；工作簿“规则与D0更正”、对应“案件分流”及家庭稿同ID。</w:t>
      </w:r>
    </w:p>
    <w:p>
      <w:r>
        <w:t>已购买产品：账户具领取条件，产品仍遵循相关规定；每份至少一年；赎回费0。影响F07/F09/F10；0费不消除持有期；满期不等于账户可对外领。定位S03二；S04原PDF1/3/5页；工作簿“规则与D0更正”、对应“案件分流”及家庭稿同ID。</w:t>
      </w:r>
    </w:p>
    <w:p>
      <w:r>
        <w:t>名称/风险：可能损失本金，养老名称不保证收益或退休收入。影响全部；稳健/养老不等于保本；0赎回费不代表全部费用0。定位S04原PDF5/6页；工作簿“规则与D0更正”、对应“案件分流”及家庭稿同ID。</w:t>
      </w:r>
    </w:p>
    <w:p>
      <w:r>
        <w:t>非年龄路径返缴：再次缴费恢复缴存状态，需重新达到领取条件。影响F12；历史低保与旧领取状态不能永久沿用。定位S03四；工作簿“规则与D0更正”、对应“案件分流”及家庭稿同ID。</w:t>
      </w:r>
    </w:p>
    <w:p>
      <w:r>
        <w:t>领取方式：可按月、分次、一次性并按需变更。影响F11；让家庭选择，非顾问替选或限制只有按月。定位S03二；工作簿“规则与D0更正”、对应“案件分流”及家庭稿同ID。</w:t>
      </w:r>
    </w:p>
    <w:p>
      <w:r>
        <w:t>7天冷静期：核具体销售文件/渠道/撤单时限；当前不宣传确定天数。影响全部，尤其F07；当前资料不足不等于一切产品绝无冷静/提前办理安排。定位S04并未提供统一7天权利；S08待核；工作簿“规则与D0更正”、对应“案件分流”及家庭稿同ID。</w:t>
      </w:r>
    </w:p>
    <w:p>
      <w:r>
        <w:t>家庭流动性：家庭储备为客户偏好，建议追加≤年度余额及账户外储备余量。影响F02；可延后或更审慎，不用税惠驱动耗尽应急金。定位S05 F02；S08约定；工作簿“规则与D0更正”、对应“案件分流”及家庭稿同ID。</w:t>
      </w:r>
    </w:p>
    <w:p>
      <w:pPr>
        <w:pStyle w:val="Heading1"/>
      </w:pPr>
      <w:r>
        <w:t>核查接口与行动顺序</w:t>
      </w:r>
    </w:p>
    <w:p>
      <w:r>
        <w:t>负责人先核12案历史日期、初筛与金额一致性；F02让家庭确认应急金与追加选择，追加0–2000或延后均可，实际扣除依平台凭证。</w:t>
      </w:r>
    </w:p>
    <w:p>
      <w:r>
        <w:t>社保经办接口：核F05/F08/F10/F11给定条件和真实申请；F06核是否有窗口内漏登真实月份；F12核返缴后的当前状态与重新资格。不用旧低保状态或顾问签字代核实。</w:t>
      </w:r>
    </w:p>
    <w:p>
      <w:r>
        <w:t>产品运营/销售机构：核017363当前完整销售文件、临时公告、每笔到期与开放/确认、是否存在具体适用提前办理安排；对7天说法核合同、渠道、撤单截止及适用权利。在答复前不作统一天数、保证退款或到账承诺。</w:t>
      </w:r>
    </w:p>
    <w:p>
      <w:r>
        <w:t>本题只对给定现金F05/F08 10000→税300/净9700，F10 4000→税120/净3880，F11 12000→税360/净11640作附条件演示。基金估值、净值变化、交易日和未核资格不混入可付现金。</w:t>
      </w:r>
    </w:p>
    <w:p>
      <w:r>
        <w:t>专业边界：S04概要不是完整招募说明书，当前产品条款或特别办理未查全；不能用冻结概要替代实际适当性/新公告审核。三solver校准、领域专家审查、正式judge和真实业务办理均不能由作者本地计算代替。</w:t>
      </w:r>
    </w:p>
    <w:sectPr w:rsidR="00FC693F" w:rsidRPr="0006063C" w:rsidSect="00034616">
      <w:footerReference w:type="default" r:id="rId9"/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原创训练家庭｜内部待审，未发送、未核实批准或办理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