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原创业务委托：两包价格复核，不替代评标委员会</w:t>
      </w:r>
    </w:p>
    <w:p>
      <w:pPr>
        <w:pStyle w:val="Heading1"/>
      </w:pPr>
      <w:r>
        <w:t>身份与范围</w:t>
      </w:r>
    </w:p>
    <w:p>
      <w:r>
        <w:t>全部采购包、企业代号、业务数据、内部文件与消息为原创虚构，非真实投标、真实政府采购决定或官方案例。历史基准2022-08-01 10:00，Asia/Shanghai。你是采购代理机构的价格复核助理，只为项目负责人制作内部复核材料。</w:t>
      </w:r>
    </w:p>
    <w:p>
      <w:r>
        <w:t>A、B是两个独立项目中依法完成预留安排后的非预留部分货物采购包。主管预算单位已完成统筹，预留合法性与项目预算不是本题审查对象。两包各预算320万元，接受联合体/分包但不强制；各7份报价，技术与其他资格审查均已通过。本题只复核价格优惠、评审价排序与候选建议，不能从不享受优惠推为无效投标。</w:t>
      </w:r>
    </w:p>
    <w:p>
      <w:r>
        <w:t>所有报价人民币含税元，未含需另加费用，无报价修正、同价或其他政策加分。依给定采购文件按扣除后价格从低到高形成价格序建议；这不是完整评标/中标结果，不真实签约或发通知。制造商/行业/划型事实已经合同式给定，不要求用营收人数另划型，不额外索要声明函之外的身份证明。</w:t>
      </w:r>
    </w:p>
    <w:p>
      <w:pPr>
        <w:pStyle w:val="Heading1"/>
      </w:pPr>
      <w:r>
        <w:t>已发布采购文件：A-FINAL与B-FINAL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包</w:t>
            </w:r>
          </w:p>
        </w:tc>
        <w:tc>
          <w:tcPr>
            <w:tcW w:type="dxa" w:w="1440"/>
          </w:tcPr>
          <w:p>
            <w:r>
              <w:t>首次公告</w:t>
            </w:r>
          </w:p>
        </w:tc>
        <w:tc>
          <w:tcPr>
            <w:tcW w:type="dxa" w:w="1440"/>
          </w:tcPr>
          <w:p>
            <w:r>
              <w:t>开标</w:t>
            </w:r>
          </w:p>
        </w:tc>
        <w:tc>
          <w:tcPr>
            <w:tcW w:type="dxa" w:w="1440"/>
          </w:tcPr>
          <w:p>
            <w:r>
              <w:t>有效文件</w:t>
            </w:r>
          </w:p>
        </w:tc>
        <w:tc>
          <w:tcPr>
            <w:tcW w:type="dxa" w:w="1440"/>
          </w:tcPr>
          <w:p>
            <w:r>
              <w:t>小微普通扣除</w:t>
            </w:r>
          </w:p>
        </w:tc>
        <w:tc>
          <w:tcPr>
            <w:tcW w:type="dxa" w:w="1440"/>
          </w:tcPr>
          <w:p>
            <w:r>
              <w:t>符合条件联合体/分包扣除</w:t>
            </w:r>
          </w:p>
        </w:tc>
      </w:tr>
      <w:tr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2022-06-30 09:00</w:t>
            </w:r>
          </w:p>
        </w:tc>
        <w:tc>
          <w:tcPr>
            <w:tcW w:type="dxa" w:w="1440"/>
          </w:tcPr>
          <w:p>
            <w:r>
              <w:t>2022-07-25 09:00</w:t>
            </w:r>
          </w:p>
        </w:tc>
        <w:tc>
          <w:tcPr>
            <w:tcW w:type="dxa" w:w="1440"/>
          </w:tcPr>
          <w:p>
            <w:r>
              <w:t>A-FINAL，6月28日批准并随公告发布</w:t>
            </w:r>
          </w:p>
        </w:tc>
        <w:tc>
          <w:tcPr>
            <w:tcW w:type="dxa" w:w="1440"/>
          </w:tcPr>
          <w:p>
            <w:r>
              <w:t>8%</w:t>
            </w:r>
          </w:p>
        </w:tc>
        <w:tc>
          <w:tcPr>
            <w:tcW w:type="dxa" w:w="1440"/>
          </w:tcPr>
          <w:p>
            <w:r>
              <w:t>2%</w:t>
            </w:r>
          </w:p>
        </w:tc>
      </w:tr>
      <w:tr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2022-07-01 09:00</w:t>
            </w:r>
          </w:p>
        </w:tc>
        <w:tc>
          <w:tcPr>
            <w:tcW w:type="dxa" w:w="1440"/>
          </w:tcPr>
          <w:p>
            <w:r>
              <w:t>2022-07-26 09:00</w:t>
            </w:r>
          </w:p>
        </w:tc>
        <w:tc>
          <w:tcPr>
            <w:tcW w:type="dxa" w:w="1440"/>
          </w:tcPr>
          <w:p>
            <w:r>
              <w:t>B-FINAL，6月30日批准并随公告发布</w:t>
            </w:r>
          </w:p>
        </w:tc>
        <w:tc>
          <w:tcPr>
            <w:tcW w:type="dxa" w:w="1440"/>
          </w:tcPr>
          <w:p>
            <w:r>
              <w:t>12%</w:t>
            </w:r>
          </w:p>
        </w:tc>
        <w:tc>
          <w:tcPr>
            <w:tcW w:type="dxa" w:w="1440"/>
          </w:tcPr>
          <w:p>
            <w:r>
              <w:t>5%</w:t>
            </w:r>
          </w:p>
        </w:tc>
      </w:tr>
    </w:tbl>
    <w:p>
      <w:pPr>
        <w:pStyle w:val="Heading1"/>
      </w:pPr>
      <w:r>
        <w:t>时间、公式和交付边界</w:t>
      </w:r>
    </w:p>
    <w:p>
      <w:r>
        <w:t>两包首次公告后未中止、重新公告或变更采购方式；不是按照开标日期选择新旧幅度。B-DRAFT的8%/2%仅为6月15日未批准底稿，不是最终采购文件。小型与微型同等，不按企业名称、经销商规模或更晚消息给上限。</w:t>
      </w:r>
    </w:p>
    <w:p>
      <w:r>
        <w:t>评审价=原报价×(1−本次合法适用扣除率)，金额保留2位；未享受优惠率为0而非剔除该报价。价格扣除不改变报价，候选合同金额仍为原报价，任何付款条款或最终成交须另外完成有权流程。工作簿须保留原报价/原始字段/纠正后依据/优惠类型/率/评审价/排名，评审价和排名用可复算公式且具有可见缓存。</w:t>
      </w:r>
    </w:p>
    <w:p>
      <w:r>
        <w:t>最终只交price_review.xlsx（明细、两包建议/原报价、时间与依据索引、D0纠错）和review_memo.docx（负责人能据此复核的中文备忘录，理由、候选与金额、待有权复核事项）。不交脚本、网页或压缩包。可以采用等价工作表/版式。</w:t>
      </w:r>
    </w:p>
    <w:p>
      <w:r>
        <w:t>另说明政府采购工程仍按46号相关规定，不把货物服务10%–20%套到工程；不需要演算本题未给的工程投标或签署任何正式文书。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