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原创内部记录：事实纠正不等于标后改变协议</w:t>
      </w:r>
    </w:p>
    <w:p>
      <w:pPr>
        <w:pStyle w:val="Heading1"/>
      </w:pPr>
      <w:r>
        <w:t>D0，7月27日08:30，未审复核底稿</w:t>
      </w:r>
    </w:p>
    <w:p>
      <w:r>
        <w:t>D0-1 两包均7月开标，统一小微20%、联合体6%。</w:t>
      </w:r>
    </w:p>
    <w:p>
      <w:r>
        <w:t>D0-2 青禾是大型经销商，不优惠；禾桥是微型经销商全部优惠；中岭是中型，按小微同等待遇。</w:t>
      </w:r>
    </w:p>
    <w:p>
      <w:r>
        <w:t>D0-3 B04台账29%，不能优惠；溪桥29.9%四舍五入为30%。</w:t>
      </w:r>
    </w:p>
    <w:p>
      <w:r>
        <w:t>D0-4 岭源直接控股关系无须关注，声明函齐全就优惠；槐川虽未交声明函也先优惠。</w:t>
      </w:r>
    </w:p>
    <w:p>
      <w:r>
        <w:t>D0-5 扣除后最低价格就是正式成交价，可直接发中标通知。</w:t>
      </w:r>
    </w:p>
    <w:p>
      <w:pPr>
        <w:pStyle w:val="Heading1"/>
      </w:pPr>
      <w:r>
        <w:t>7月27日09:00，项目负责人，有权核实事实</w:t>
      </w:r>
    </w:p>
    <w:p>
      <w:r>
        <w:t>B04台账存在转录错误：调阅开标前2022-07-25已签署的联合协议原件，第一条明确小微制造部分合同份额为30.00%，其他事实、报价不变。A04原台账30.00%正确。此为既有协议信息更正，并非允许投标截止后调整份额或补签。记录编号G04-CORR。</w:t>
      </w:r>
    </w:p>
    <w:p>
      <w:r>
        <w:t>采用S03已发布A-FINAL/B-FINAL，保留S04原台账数字，在工作簿另列采用份额与更正依据；对B04的优惠、金额、排名、候选比较和备忘录均同步。已给声明状态是冻结事实，不借此虚写供应商补交、财政认定或专家批准。</w:t>
      </w:r>
    </w:p>
    <w:p>
      <w:pPr>
        <w:pStyle w:val="Heading1"/>
      </w:pPr>
      <w:r>
        <w:t>7月27日09:30，商务联络员，无权修改采购文件</w:t>
      </w:r>
    </w:p>
    <w:p>
      <w:r>
        <w:t>联络员建议：8月才复核，全给20%吧；B04别改旧表，按29%；直接按扣除价付款。该角色无权修改已发文件、制造商事实或采购决定；建议未获项目负责人批准。</w:t>
      </w:r>
    </w:p>
    <w:p>
      <w:pPr>
        <w:pStyle w:val="Heading1"/>
      </w:pPr>
      <w:r>
        <w:t>需要你完成的纠错</w:t>
      </w:r>
    </w:p>
    <w:p>
      <w:r>
        <w:t>逐一处置D0-1至D0-5并指向S01/S02/S03/本补充。按给定材料给出两包7名报价的价格序与条件性候选建议；候选金额用原报价，写清仍待项目负责人和后续有权评审流程，不伪称已批准。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