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两货物包价格复核备忘录｜2022-08-01 10:00 上海</w:t>
      </w:r>
    </w:p>
    <w:p>
      <w:pPr>
        <w:pStyle w:val="Heading1"/>
      </w:pPr>
      <w:r>
        <w:t>给项目负责人的建议：仅供内部复核</w:t>
      </w:r>
    </w:p>
    <w:p>
      <w:r>
        <w:t>A价格序首位A06（岭源），评审价与原报价均2,730,000.00元；B价格序首位B01（青禾），评审价2,640,000.00元、条件性候选原报价3,000,000.00元。不能把B评审价当成交/合同付款额。两包都仅给出价格序建议，未作正式评审、中标、签约、支付或通知。所有业务资料为原创虚构案例，不是已获政府或专家确认的采购决定。</w:t>
      </w:r>
    </w:p>
    <w:p>
      <w:pPr>
        <w:pStyle w:val="Heading1"/>
      </w:pPr>
      <w:r>
        <w:t>先选时点与已发文件，不看最后消息</w:t>
      </w:r>
    </w:p>
    <w:p>
      <w:r>
        <w:t>46号2020-12-18落款、官方转发页2021-01-06、2021-01-01起施；19号2022-05-30落款、页面2022-06-01、2022-07-01起执行。源字节2026实际抓取，非当年存档。S02第二项以起执行日起首次公告/邀请为切点，A6月30日公告仍用A-FINAL 8%/2%；B7月1日公告用B-FINAL 12%/5%。开标在7月、8月复核都不能使A追溯改新。B-DRAFT和商务09:30意见均不替代已发布文件。10%–20%/4%–6%是新范围，不自动20%/6%，小型微型同等。</w:t>
      </w:r>
    </w:p>
    <w:p>
      <w:pPr>
        <w:pStyle w:val="Heading1"/>
      </w:pPr>
      <w:r>
        <w:t>制造、声明及份额，而非仅看经销商</w:t>
      </w:r>
    </w:p>
    <w:p>
      <w:r>
        <w:t>G01大型青禾的每个标的均由微型企业制造且使用制造商商标：满足声明事实可普通小微优惠，不要求经销商也小微。G02小微禾桥混大型制造不享扶持；G03全中型不享小微扣除。G06自身小型制造但与大型直接控股关系排除；G07未交声明不优惠。未享优惠不等于无效投标，本题其他资格已通过。</w:t>
      </w:r>
    </w:p>
    <w:p>
      <w:r>
        <w:t>G04联合体的小微制造份额30.00%达到第9条门槛且不存在控股/管理关系，A按2%、B按5%；不是对其小微部分单独扣除而是对该报价扣除。G05 29.90%不达到30%，不四舍五入。B04台账29保留于D列，E列按S05 G04-CORR采用30：既有7月25日签署协议的转录纠正，不是标后修改投标。B04评审价2,764,500.00元、价格序3，已同步明细与候选比较，仍不是首位。</w:t>
      </w:r>
    </w:p>
    <w:p>
      <w:pPr>
        <w:pStyle w:val="Heading1"/>
      </w:pPr>
      <w:r>
        <w:t>D0闭环、来源和后续</w:t>
      </w:r>
    </w:p>
    <w:p>
      <w:r>
        <w:t>工作簿“版本与纠错”逐项关闭D0-1时点/上限、D0-2只看经销商、D0-3份额误记/进位、D0-4声明万能、D0-5扣除价付款。两包各7份原报价完整保留，按同包评审价升序；价格计算/排名/候选原报价为真实公式且已重算缓存。</w:t>
      </w:r>
    </w:p>
    <w:p>
      <w:r>
        <w:t>依据：S01第2、4、9、11、12、25条；S02新通知第二项及2021问答一1/一2/一6、四1/四4、六4；S03已发布文件与冻结资格边界；S05负责人补充。S01 URL：https://gks.mof.gov.cn/guizhangzhidu/202012/P020201228514483258334.pdf；S02通知：https://app.www.gov.cn/govdata/gov/202206/01/485609/article.html；问答：https://m.mof.gov.cn/czxw/202102/t20210220_3659586.htm。</w:t>
      </w:r>
    </w:p>
    <w:p>
      <w:r>
        <w:t>19号没有将政府采购工程改为10%–20%：仍依46号，普通工程3%–5%、符合条件组合1%–2%；其适用招标投标法且综合评估但未用低价优先法计算价格分的分支是原报价价格分上的政策加分，不能一概当直接报价扣除。本题不演算工程、预留方案或其他缺失事项。</w:t>
      </w:r>
    </w:p>
    <w:p>
      <w:r>
        <w:t>下一步由项目负责人核对原协议/声明函及已发文件、确认事实纠正和价格序，再送有权评审与后续批准流程；不得额外强索声明函以外的中小企业身份证明，不虚构已补函、财政认定、专家批准、合同或付款。正式业务用途须由采购/法律专业人员复核；本作者成果没有外部专家签字。</w:t>
      </w:r>
    </w:p>
    <w:sectPr w:rsidR="00FC693F" w:rsidRPr="0006063C" w:rsidSect="00034616">
      <w:footerReference w:type="default" r:id="rId9"/>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本文件按题包冻结材料编制；不构成真实机构审批或专业认证。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