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原创委托｜文秘电子归档培训稿校订</w:t>
      </w:r>
    </w:p>
    <w:p>
      <w:pPr>
        <w:pStyle w:val="Heading1"/>
      </w:pPr>
      <w:r>
        <w:t>角色与成果用途</w:t>
      </w:r>
    </w:p>
    <w:p>
      <w:r>
        <w:t>本机构“澄河区综合协调局”为纯虚构党政机关，非真实机关或真实档案。你是内训编辑，面向文秘与业务文件形成部门，业务基准2024-11-04 09:00 Asia/Shanghai；拟于11月5日开展10–12分钟培训。为这次培训制作干净可试讲Word，不要写成对旧稿的逐句批判合集。另交Excel审校台账和真实编辑证据。</w:t>
      </w:r>
    </w:p>
    <w:p>
      <w:r>
        <w:t>训练聚焦本题电子公文与文书会议材料，不作会计/人事等全部档案鉴定，不要求生成或接触真正的档案、电子印章、私钥、销毁指令或政府审批。所有业务消息及情境均原创。</w:t>
      </w:r>
    </w:p>
    <w:p>
      <w:pPr>
        <w:pStyle w:val="Heading1"/>
      </w:pPr>
      <w:r>
        <w:t>明确要求</w:t>
      </w:r>
    </w:p>
    <w:p>
      <w:r>
        <w:t>保留D01–D08段号到审校台账，并定位到修改后讲义的章节，给精确源条号/附表项及下一复核动作；一项有多个问题须全部关闭或明确待核。讲义不需保留错误原句，也不强求唯一排版或逐字同参考。</w:t>
      </w:r>
    </w:p>
    <w:p>
      <w:r>
        <w:t>四个情境均按S05原事实处理；结论是给定条文下的培训示例，不等于已批准的本机关期限表。缺主协办身份不得推定；提出明确核验问题和责任人。</w:t>
      </w:r>
    </w:p>
    <w:p>
      <w:r>
        <w:t>从可用Skill自行判断选择，说明相近候选为什么不足；需要所选Skill支撑实际编辑证据，不要求为凑数调用所有候选。证据可验证输入/技能/两个Office产物真实SHA，不能只自述“使用了Skill”。</w:t>
      </w:r>
    </w:p>
    <w:p>
      <w:r>
        <w:t>只交training_handout.docx、correction_register.xlsx、review_evidence.json至/app/output/。讲义适合10–12分钟试讲并包含四例互动与答案依据；不设强制页数。Excel须保留逐段修改与四例处置，便于复核，不强制装饰风格。</w:t>
      </w:r>
    </w:p>
    <w:p>
      <w:pPr>
        <w:pStyle w:val="Heading1"/>
      </w:pPr>
      <w:r>
        <w:t>授权与未验边界</w:t>
      </w:r>
    </w:p>
    <w:p>
      <w:r>
        <w:t>M01只授权内部编稿、校订和送审，未授权对外发布、替代同级档案主管部门审查、真实归档或销毁；外部专家尚未复核。M02是IT个人建议，无权改变政策或机关权限。M03只提供会务事实。</w:t>
      </w:r>
    </w:p>
    <w:p>
      <w:r>
        <w:t>区分政策日期、转发日期、原始虚构消息日期、本次真实取得时间和程序运行时间。不能把当前2026取证写成2024真实存档；不作题目以外政策截至2026仍有效的全面认证。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