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电子公文归档：从“能打开”到“可交接”</w:t>
      </w:r>
    </w:p>
    <w:p>
      <w:pPr>
        <w:pStyle w:val="Heading1"/>
      </w:pPr>
      <w:r>
        <w:t>一｜先定对象和时点（2分钟）</w:t>
      </w:r>
    </w:p>
    <w:p>
      <w:r>
        <w:t>供文秘与电子文件形成部门内部试讲｜2024-11-04 09:00 Asia/Shanghai编稿基准，拟11月5日培训；待档案业务复核，不是已发布制度。</w:t>
      </w:r>
    </w:p>
    <w:p>
      <w:r>
        <w:t>22号《电子档案管理办法》2024-09-14公布、11月1日施行；瓯海10月31日是转载，不是规章公布。8号《机关文件材料归档范围和文书档案保管期限规定》2006-12-18发布并施行；江苏2021-01-11是转发时间。两者分别规范电子全过程与机关文书范围/期限，不能按新旧日期把8号自动作废。第22号第14条仍要求纳入本单位范围、期限表与分类方案管理；8号第15条明确废止的是所列两份1987旧文件。</w:t>
      </w:r>
    </w:p>
    <w:p>
      <w:r>
        <w:t>本课是党政机关电子公文/文书会议材料，不泛推到人事、会计等专门门类（8号第9条）。本次材料于2026-10-21真实取得，不是2024历史存档；逐源UTC与HTML哈希在S01/S02。</w:t>
      </w:r>
    </w:p>
    <w:p>
      <w:pPr>
        <w:pStyle w:val="Heading1"/>
      </w:pPr>
      <w:r>
        <w:t>二｜一条归档线，三种不同职责（3分钟）</w:t>
      </w:r>
    </w:p>
    <w:p>
      <w:r>
        <w:t>形成部门：按22号第10、17条，在形成、办理、收集过程中完成收集整理、保管期限鉴定、分类、命名，完整采集内容、结构、背景及整个管理过程元数据；文件与元数据一并归档（第16条）。不是只交一个能打开的PDF。格式应开放、不绑定软硬件、显示一致、可转换、易用且支持长期保存转换；不指定材料没有给出的唯一格式。</w:t>
      </w:r>
    </w:p>
    <w:p>
      <w:r>
        <w:t>共同交接：形成部门与电子档案管理部门对提交的文件及元数据清点、登记，检测真实性、完整性、可用性、安全性，并由责任人确认（第18条）。信息中心提供系统/技术支持，备份不等于各部门已完成归档。</w:t>
      </w:r>
    </w:p>
    <w:p>
      <w:r>
        <w:t>档案管理部门：审核接收、编制档号、确认保管期限，并依规向档案馆移交（第10、19、20条）。向本机关档案部门归档与向档案馆移交不是同一步。保管期限也不是向档案馆移交年限。</w:t>
      </w:r>
    </w:p>
    <w:p>
      <w:r>
        <w:t>党政机关电子公文归档须去除电子印章数字签名信息，只保留印章图形（第17条）；向档案馆移交电子档案同样不保留数字签名信息（第21条）。这不是删除印章图形，也不是在业务办理期间随意改动原始公文。电子与传统载体档案同等效力（第3条）不等于扫描后可擅自销毁纸质原件。本次只教要求，不真实处理印章、解密或删除文件。</w:t>
      </w:r>
    </w:p>
    <w:p>
      <w:pPr>
        <w:pStyle w:val="Heading1"/>
        <w:pageBreakBefore/>
      </w:pPr>
      <w:r>
        <w:t>三｜四张练习卡：对象先于期限（3分钟）</w:t>
      </w:r>
    </w:p>
    <w:p>
      <w:r>
        <w:t>先请学员分别说“是什么文件、主办还是协办、原件还是副本”，再回答保管期限及下一动作。以下为给定事实下的示例，不是已获审查同意的本机关期限表。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rPr>
                <w:sz w:val="18"/>
              </w:rPr>
              <w:t>情境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参考回答与依据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下一动作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C01 单独工作会议纪要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永久；8号附表4.1。不是联合会议协办材料。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形成部门登记并提交档案部门复核。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C02 联合会议协办纪要复制件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30年；附表5.2.1。原件由主办机关归档（第11条）。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核对副本完整性，按本机关归档流程办理。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C03 同一协办会议交流副本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10年；附表5.2.2。不能把纪要的30年套到交流材料。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按副本类别登记，交档案部门复核。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C04 主协办及原/副本未知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待核，不能直接定永久或30年；主办纪要可为永久（5.1.1），协办副本为30年（5.2.1）。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会务联络员补完整通知、角色及持有件依据；形成部门和档案部门核定后再定。</w:t>
            </w:r>
          </w:p>
        </w:tc>
      </w:tr>
    </w:tbl>
    <w:p>
      <w:pPr>
        <w:pStyle w:val="Heading1"/>
      </w:pPr>
      <w:r>
        <w:t>四｜到期不是“自动删除”（2分钟）</w:t>
      </w:r>
    </w:p>
    <w:p>
      <w:r>
        <w:t>8号第6条区分永久、定期，定期一般为30年、10年，不是电子文件统一10年。本机关范围/期限表应结合职能与实际编制，经同级档案行政管理部门审查同意后执行（第12、13条）；不能用IT签发或本次讲义替代。</w:t>
      </w:r>
    </w:p>
    <w:p>
      <w:r>
        <w:t>22号第29条：到期应鉴定，仍需保存的重划期限并变更管理数据；第30条：需要销毁须遵守国家规定、履行相关审批，禁止擅自销毁。经合规决定确需销毁时，应彻底删除在线、容灾备份系统与离线介质相关档案，记录范围、数量、大小、审核人和操作者。不能只删在线，也不能把需要销毁的数据永久留在副本。</w:t>
      </w:r>
    </w:p>
    <w:p>
      <w:r>
        <w:t>销毁之前的正常保管应按第26条备份：至少两种符合长期安全要求的介质，至少三套完整数据，在线应用一套、两套备份，每种介质上保存一套完整数据；备份规则不是绕开审批销毁或无限留存的理由。本题不要求执行备份或删除。</w:t>
      </w:r>
    </w:p>
    <w:p>
      <w:pPr>
        <w:pStyle w:val="Heading1"/>
      </w:pPr>
      <w:r>
        <w:t>五｜讲师结束前的复核口令（1分钟）</w:t>
      </w:r>
    </w:p>
    <w:p>
      <w:r>
        <w:t>请学员复述：先对象与时点，再文件及元数据；形成部门准备、共同检测确认、档案部门审核；到期鉴定不自动删除。</w:t>
      </w:r>
    </w:p>
    <w:p>
      <w:r>
        <w:t>M01于10月31日16:00只授权编稿和送审；M02于11月3日17:30虽较晚，IT工程师无权改全国规范/批准销毁或发布；M03于11月4日08:30只确认会务事实，不核定期限。负责人复核讲义内容与未决C04；会务联络员补C04缺件；档案人员核对本机关有效期限表及审查记录；编辑核对讲义和台账一致后再次送审。在这些完成前保持待审，不声称档案主管部门或专家已批准，也不外发。</w:t>
      </w:r>
    </w:p>
    <w:p>
      <w:r>
        <w:t>来源定位：S01第3、10、14、16–21、26、29、30、38条；S02第5、6、9–15条及附表4.1、5.1.1、5.2.1、5.2.2；S03委托；S05 M01–M03及C01–C04。URL与取证哈希见两份源摘录。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