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原创单位工作手册：11月未批准草案</w:t>
      </w:r>
    </w:p>
    <w:p>
      <w:pPr>
        <w:pStyle w:val="Heading1"/>
      </w:pPr>
      <w:r>
        <w:t>任务构造声明</w:t>
      </w:r>
    </w:p>
    <w:p>
      <w:r>
        <w:t>这是原创单位内部错误草案，非政府文件、非官方征求意见稿、非真实高校制度。版本D0，起草2023-11-20，未获批准，不能据此推断12月1日前不存在其他伦理审查义务。</w:t>
      </w:r>
    </w:p>
    <w:p>
      <w:pPr>
        <w:pStyle w:val="Heading1"/>
      </w:pPr>
      <w:r>
        <w:t>待核验草案条款</w:t>
      </w:r>
    </w:p>
    <w:p>
      <w:r>
        <w:t>D0-1：只受理医学、生命科学涉及人的项目，社科问卷和算法项目直接免审。</w:t>
      </w:r>
    </w:p>
    <w:p>
      <w:r>
        <w:t>D0-2：委员会总人数5人即可；所有项目只找两人签字，不区分到会和复核专家。</w:t>
      </w:r>
    </w:p>
    <w:p>
      <w:r>
        <w:t>D0-3：申请受理后30个工作日内审结，周末不计；不用在流程记录中说明是否延期。</w:t>
      </w:r>
    </w:p>
    <w:p>
      <w:r>
        <w:t>D0-4：全部AI项目都由科研处直接批准，无需报外部专家复核。</w:t>
      </w:r>
    </w:p>
    <w:p>
      <w:r>
        <w:t>D0-5：项目只要无明显生理伤害就自动适用简易程序；已批准临床方案扩大年龄范围按原批准执行。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