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科技伦理审查受理与流转SOP修订草稿</w:t>
      </w:r>
    </w:p>
    <w:p>
      <w:pPr>
        <w:pStyle w:val="Heading1"/>
      </w:pPr>
      <w:r>
        <w:t>版本、权限与适用边界</w:t>
      </w:r>
    </w:p>
    <w:p>
      <w:r>
        <w:t>基准2023-12-04 09:00。国科发监〔2023〕167号成文2023-09-07，网页发布2023-10-08，自2023-12-01施行。D0只是单位未批准草案，不是官方旧规则；不由该草案推断此前无审查义务。12月4日处长补充有效，12月3日项目负责人建议不覆盖该授权。</w:t>
      </w:r>
    </w:p>
    <w:p>
      <w:r>
        <w:t>本SOP为待批准工作草稿。秘书负责形式核查和流转建议，不给项目作实质批准/否决，不自行确认临床安全。第54条规定行业特殊规定符合本办法精神的从其规定，未规定事项依其他现有规定；本材料不足以完成具体药物临床项目全部监管判断。</w:t>
      </w:r>
    </w:p>
    <w:p>
      <w:pPr>
        <w:pStyle w:val="Heading1"/>
      </w:pPr>
      <w:r>
        <w:t>节点1：收件、范围与风险评估</w:t>
      </w:r>
    </w:p>
    <w:p>
      <w:r>
        <w:t>登记项目概况、版本、提交时间、现有批准/变更状态。按第2条核对涉人（含调查、个人信息和样本）、实验动物、不直接涉人或动物但有生命健康/生态环境/公共秩序/可持续发展等伦理风险、其他依法需审查的活动。不能只受理医学，也不能把所有AI一律列复核。</w:t>
      </w:r>
    </w:p>
    <w:p>
      <w:r>
        <w:t>按第9条由科技活动开展方做伦理风险评估，委员会制定风险评估办法并指导；属于范围的负责人提出申请。设委主体与条件依第4条，不把全部AI单位一概视为必设委；无设委或无法胜任者按第13条书面委托其他满足要求的委员会。</w:t>
      </w:r>
    </w:p>
    <w:p>
      <w:pPr>
        <w:pStyle w:val="Heading1"/>
      </w:pPr>
      <w:r>
        <w:t>节点2：完整性核对与一次性补件</w:t>
      </w:r>
    </w:p>
    <w:p>
      <w:r>
        <w:t>核第9条材料：概况/既往审查；实施方案、风险防控与应急、发布形式；机构资质、人员经验培训、经费及利益冲突；知情同意及样本/数据/动物来源；伦理科研诚信承诺；委员会要求的其他材料。按实际项目判断适用项，不为所有项目硬造动物材料。</w:t>
      </w:r>
    </w:p>
    <w:p>
      <w:r>
        <w:t>按第10条由委员会根据申请材料决定受理并通知申请人，受理时明确程序；不齐全时一次性完整告知需补材料。秘书列清单、送委员会确认并留痕，不把收到文件等同正式受理或直接开计30日时钟。</w:t>
      </w:r>
    </w:p>
    <w:p>
      <w:pPr>
        <w:pStyle w:val="Heading1"/>
      </w:pPr>
      <w:r>
        <w:t>节点3：一般程序与组织边界</w:t>
      </w:r>
    </w:p>
    <w:p>
      <w:r>
        <w:t>委员会总人数不少于7人，具备相关科技、伦理、法律等背景，并有不同性别和非本单位委员等第7条要求。第14条会议由主任或指定副主任主持，到会不少于5人且有第7条不同类别委员；顾问可咨询但不表决。</w:t>
      </w:r>
    </w:p>
    <w:p>
      <w:r>
        <w:t>第16条委员会审查决定须经到会委员三分之二以上同意，不是全体委员简单多数；决定可为批准、修改后批准、修改后再审、不予批准，意见要说明要求或理由。一般应在申请受理后30日内决定，特殊情况可适当延长并明确延长时限（第17条）；第52条未写工作日即为自然日，不能私自改成30工作日。</w:t>
      </w:r>
    </w:p>
    <w:p>
      <w:pPr>
        <w:pStyle w:val="Heading1"/>
      </w:pPr>
      <w:r>
        <w:t>节点4：简易程序与转一般程序</w:t>
      </w:r>
    </w:p>
    <w:p>
      <w:r>
        <w:t>第22条三类可适用：风险可能性和程度均不高于最低风险；已批准方案较小修改且不影响风险受益比；前期无重大调整的跟踪审查。不是无生理干预就自动最低风险。按委员会制定的规程确认资格。</w:t>
      </w:r>
    </w:p>
    <w:p>
      <w:r>
        <w:t>第23条由主任指定两名或两名以上委员，决定载明简易理由和依据。第24条出现否定性意见、内容有疑义、委员意见不一致或委员提出转会议的，应调整为会议审查、适用一般程序。简易不是免审。</w:t>
      </w:r>
    </w:p>
    <w:p>
      <w:pPr>
        <w:pStyle w:val="Heading1"/>
      </w:pPr>
      <w:r>
        <w:t>节点5：清单项目专家复核</w:t>
      </w:r>
    </w:p>
    <w:p>
      <w:r>
        <w:t>按第5/25条由委员会判断是否属于公开清单，不是秘书替代最终认定。附件6针对同时具有舆论社会动员能力和社会意识引导能力的算法模型/应用/系统研发，不是全部算法。核第34条审批监管替代情形及第54条行业规定，不能自行免复核。</w:t>
      </w:r>
    </w:p>
    <w:p>
      <w:r>
        <w:t>按第26/27条先单位委员会初审，再由单位报地方或相关行业主管部门组织复核；多单位由牵头汇总。材料包括第9条申请材料、初审意见和复核单位要求的材料。第28条专家组不少于5人，原审委员会委员不得参与本委员会项目复核，注意利益冲突。</w:t>
      </w:r>
    </w:p>
    <w:p>
      <w:r>
        <w:t>第30条复核意见经全体复核专家三分之二以上同意；第31条主管部门一般收到复核申请后30日内反馈；第32条单位委员会依据复核意见作出审查决定。不是处长代批，也不是复核意见自动替代委员会决定。清单项目获批后跟踪间隔一般不超6个月（第33条）。</w:t>
      </w:r>
    </w:p>
    <w:p>
      <w:pPr>
        <w:pStyle w:val="Heading1"/>
      </w:pPr>
      <w:r>
        <w:t>节点6：批准后变更、跟踪和登记</w:t>
      </w:r>
    </w:p>
    <w:p>
      <w:r>
        <w:t>一般跟踪间隔一般不超过12个月（第19条）。第20条实施方案调整或外部环境变化可能改变伦理风险，负责人及时报告，委员会评估风险受益，提出继续、暂停等意见，必要时重新审查。不能因既批或无明显不良反应就免评估；临床特殊规则另核。</w:t>
      </w:r>
    </w:p>
    <w:p>
      <w:r>
        <w:t>按第43条委员会设立后30日内登记；第44条清单项目获伦理批准后30日内登记，信息变化及时更新；第45条每年3月31日前提交上一年度委员会工作和清单项目实施报告。分别记录起点，不能从下载日统一开算。</w:t>
      </w:r>
    </w:p>
    <w:p>
      <w:pPr>
        <w:pStyle w:val="Heading1"/>
      </w:pPr>
      <w:r>
        <w:t>留痕和本次交接</w:t>
      </w:r>
    </w:p>
    <w:p>
      <w:r>
        <w:t>接班秘书留项目版本、缺件、委员会程序决定、流转/复核意见、审查决定和更新记录。A先补件；B送委员会核验清单并走初审/复核；C转委员会风险受益评估并核医药行业规则。具体清单与下一动作见项目工作簿。</w:t>
      </w:r>
    </w:p>
    <w:p>
      <w:r>
        <w:t>撤回D0试用准备和项目负责人捷径建议。处长审批本SOP草稿，委员会决定具体项目程序和实质结论，秘书发送经审核的补件/流转通知；本题输出不冒充已经完成这些真实动作。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