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待审推广稿（故意含待核验断言的原创草稿）</w:t>
      </w:r>
    </w:p>
    <w:p>
      <w:pPr>
        <w:pStyle w:val="Heading1"/>
      </w:pPr>
      <w:r>
        <w:t>文件状态</w:t>
      </w:r>
    </w:p>
    <w:p>
      <w:r>
        <w:t>仅为内部未批准草稿，不能视作政府公告，也不是参考答案。</w:t>
      </w:r>
    </w:p>
    <w:p>
      <w:pPr>
        <w:pStyle w:val="Heading1"/>
      </w:pPr>
      <w:r>
        <w:t>销售拟用文案</w:t>
      </w:r>
    </w:p>
    <w:p>
      <w:r>
        <w:t>徐汇最新AI政策发布即可申领：大模型完成备案就拿200万元，全部新设AI公司均可免租6个月至3年，还可领取1000万元装修支持；符合多个项目可分别叠加领取，销售部可以直接确认额度。4月30日发布后即日生效，5月20日交流会可以当场签订补贴承诺。</w:t>
      </w:r>
    </w:p>
    <w:p>
      <w:pPr>
        <w:pStyle w:val="Heading1"/>
      </w:pPr>
      <w:r>
        <w:t>审阅要求</w:t>
      </w:r>
    </w:p>
    <w:p>
      <w:r>
        <w:t>逐一核对这些断言，保留可以证实的事实，删除或重写不能证实的承诺。不得只替换一个金额而保留其他过期表述。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