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徐汇AI创业企业交流说明（供内部法务复核）</w:t>
      </w:r>
    </w:p>
    <w:p>
      <w:pPr>
        <w:pStyle w:val="Heading1"/>
      </w:pPr>
      <w:r>
        <w:t>政策方向</w:t>
      </w:r>
    </w:p>
    <w:p>
      <w:r>
        <w:t>截至2025-06-03，徐汇区已进入《徐汇区关于推动人工智能产业高质量发展的若干意见》试行期。该意见由徐新工办规〔2025〕6号于4月30日印发，5月31日起试行，试行期二年。</w:t>
      </w:r>
    </w:p>
    <w:p>
      <w:r>
        <w:t>依法经营、符合区域产业导向、经营状况良好且无严重违法失信行为的相关主体，可围绕引育集聚、研发、算力、语料、标准与评测等方向了解支持政策。主体引育经综合评估最高5000万元；生成式人工智能服务登记、备案经认定，单个主体累计最高500万元。空间支持由分类认定决定，本文不承诺统一免租期或装修补贴定额。</w:t>
      </w:r>
    </w:p>
    <w:p>
      <w:pPr>
        <w:pStyle w:val="Heading1"/>
      </w:pPr>
      <w:r>
        <w:t>申请前请注意</w:t>
      </w:r>
    </w:p>
    <w:p>
      <w:r>
        <w:t>“最高”“不超过”均为条件性上限，不等于个案获批金额或到账承诺。本区其他同类政策实行就高不重复；具体资格、材料和程序应向相关主管部门核实。政策由区新型工业化推进办公室会同区投资促进办公室、区财政局负责解释。</w:t>
      </w:r>
    </w:p>
    <w:p>
      <w:r>
        <w:t>本说明为交流材料候选，待法务主管复核，不是政府批复或补贴承诺书。来源：S03支持对象、二（一）（三）（十一）及附则1、3、4、5。</w:t>
      </w:r>
    </w:p>
    <w:sectPr w:rsidR="00FC693F" w:rsidRPr="0006063C" w:rsidSect="00034616">
      <w:footerReference w:type="default" r:id="rId9"/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本文件按题包冻结材料编制；不构成真实机构审批或专业认证。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