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徐汇AI招商材料法务审阅意见（候选）</w:t>
      </w:r>
    </w:p>
    <w:p>
      <w:pPr>
        <w:pStyle w:val="Heading1"/>
      </w:pPr>
      <w:r>
        <w:t>审阅范围与结论</w:t>
      </w:r>
    </w:p>
    <w:p>
      <w:r>
        <w:t>基准：2025-06-03 09:00，Asia/Shanghai。对所附三个公开页面与内部待审稿作文件效力、时间和条款一致性审查，不为任何真实企业出具补贴资格或金额决定。</w:t>
      </w:r>
    </w:p>
    <w:p>
      <w:r>
        <w:t>S03徐新工办规〔2025〕6号于2025-04-30正式印发，附则5明确2025-05-31起试行、试行期二年。S01与S02正文均为征求意见稿；页面发布日期相同不能证明二者正式替代顺序。S01标题未写草案不改变正文属性。4月30日是公布而非起施，不能由此倒推5月20日已享有扶持请求权。</w:t>
      </w:r>
    </w:p>
    <w:p>
      <w:pPr>
        <w:pStyle w:val="Heading1"/>
      </w:pPr>
      <w:r>
        <w:t>待审断言逐项处理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旧稿断言</w:t>
            </w:r>
          </w:p>
        </w:tc>
        <w:tc>
          <w:tcPr>
            <w:tcW w:type="dxa" w:w="4320"/>
          </w:tcPr>
          <w:p>
            <w:r>
              <w:t>处理与依据</w:t>
            </w:r>
          </w:p>
        </w:tc>
      </w:tr>
      <w:tr>
        <w:tc>
          <w:tcPr>
            <w:tcW w:type="dxa" w:w="4320"/>
          </w:tcPr>
          <w:p>
            <w:r>
              <w:t>备案即拿200万元</w:t>
            </w:r>
          </w:p>
        </w:tc>
        <w:tc>
          <w:tcPr>
            <w:tcW w:type="dxa" w:w="4320"/>
          </w:tcPr>
          <w:p>
            <w:r>
              <w:t>重写为：登记、备案后经认定，单个主体累计最高500万元；S01二（八）为旧草案，S03二（十一）为当前依据</w:t>
            </w:r>
          </w:p>
        </w:tc>
      </w:tr>
      <w:tr>
        <w:tc>
          <w:tcPr>
            <w:tcW w:type="dxa" w:w="4320"/>
          </w:tcPr>
          <w:p>
            <w:r>
              <w:t>全部AI企业均免租6个月至3年</w:t>
            </w:r>
          </w:p>
        </w:tc>
        <w:tc>
          <w:tcPr>
            <w:tcW w:type="dxa" w:w="4320"/>
          </w:tcPr>
          <w:p>
            <w:r>
              <w:t>删除：S02二（三）的数字未保留在S03二（三）；现行仅写分类认定给予一定支持</w:t>
            </w:r>
          </w:p>
        </w:tc>
      </w:tr>
      <w:tr>
        <w:tc>
          <w:tcPr>
            <w:tcW w:type="dxa" w:w="4320"/>
          </w:tcPr>
          <w:p>
            <w:r>
              <w:t>1000万元装修可直接领取</w:t>
            </w:r>
          </w:p>
        </w:tc>
        <w:tc>
          <w:tcPr>
            <w:tcW w:type="dxa" w:w="4320"/>
          </w:tcPr>
          <w:p>
            <w:r>
              <w:t>删除：不能把S02的一次性房租装修上限沿用为S03固定权益</w:t>
            </w:r>
          </w:p>
        </w:tc>
      </w:tr>
      <w:tr>
        <w:tc>
          <w:tcPr>
            <w:tcW w:type="dxa" w:w="4320"/>
          </w:tcPr>
          <w:p>
            <w:r>
              <w:t>各项目都可叠加</w:t>
            </w:r>
          </w:p>
        </w:tc>
        <w:tc>
          <w:tcPr>
            <w:tcW w:type="dxa" w:w="4320"/>
          </w:tcPr>
          <w:p>
            <w:r>
              <w:t>删除：S03附则1为本区其他同类政策就高不重复，是否同类须逐项确认</w:t>
            </w:r>
          </w:p>
        </w:tc>
      </w:tr>
      <w:tr>
        <w:tc>
          <w:tcPr>
            <w:tcW w:type="dxa" w:w="4320"/>
          </w:tcPr>
          <w:p>
            <w:r>
              <w:t>销售直接确定额度</w:t>
            </w:r>
          </w:p>
        </w:tc>
        <w:tc>
          <w:tcPr>
            <w:tcW w:type="dxa" w:w="4320"/>
          </w:tcPr>
          <w:p>
            <w:r>
              <w:t>删除：S03附则3规定认定程序；内部消息也未授权销售决定</w:t>
            </w:r>
          </w:p>
        </w:tc>
      </w:tr>
      <w:tr>
        <w:tc>
          <w:tcPr>
            <w:tcW w:type="dxa" w:w="4320"/>
          </w:tcPr>
          <w:p>
            <w:r>
              <w:t>4月30日起立即生效</w:t>
            </w:r>
          </w:p>
        </w:tc>
        <w:tc>
          <w:tcPr>
            <w:tcW w:type="dxa" w:w="4320"/>
          </w:tcPr>
          <w:p>
            <w:r>
              <w:t>纠正为5月31日起试行；早先5月20日发送安排已被6月3日委托取消</w:t>
            </w:r>
          </w:p>
        </w:tc>
      </w:tr>
    </w:tbl>
    <w:p>
      <w:pPr>
        <w:pStyle w:val="Heading1"/>
      </w:pPr>
      <w:r>
        <w:t>扶持说明边界</w:t>
      </w:r>
    </w:p>
    <w:p>
      <w:r>
        <w:t>主体引育经综合评估最高5000万元；研发有投入占营业收入5%以上的前提，支持不超过投入30%、年度最高5000万元；算力经评审不超过实际投入30%、年度最高2000万元。标准创制按国际/国家/行业/地方依次最高300/50/30/10万元，经批准发布与评审；模型评测经认定不超过测试费用30%、最高300万元。各条均不是自动定额支付承诺，详见工作簿逐项来源定位。</w:t>
      </w:r>
    </w:p>
    <w:p>
      <w:r>
        <w:t>S03附则4的解释部门为区新型工业化推进办公室会同区投资促进办公室、区财政局。材料没有给出完整申报流程、受理窗口、到账期限或个案认定，不可代造。</w:t>
      </w:r>
    </w:p>
    <w:p>
      <w:pPr>
        <w:pStyle w:val="Heading1"/>
      </w:pPr>
      <w:r>
        <w:t>切换与后续</w:t>
      </w:r>
    </w:p>
    <w:p>
      <w:r>
        <w:t>保留输入旧稿，不修改只读原件。资料员用当前版本同时更新条款台账及对外候选稿；销售停止使用旧稿；三份交付物交法务主管复核，当前不是已批准发布状态。</w:t>
      </w:r>
    </w:p>
    <w:p>
      <w:r>
        <w:t>待核实：空间分类认定细则、具体申报材料与时间、同类项目认定、申请主体实际情况及有无更高层级新政策。无申请企业材料，不应编造企业财务或计算个案补贴。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