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出资期限核查｜对外待审版</w:t>
      </w:r>
    </w:p>
    <w:p>
      <w:r>
        <w:t>致投资方阅读材料审阅人及负责律师｜2024-07-05 10:00 Asia/Shanghai。仅针对六个原创演练对象的期限分类、特别安排状态和信息公示作有限核查；不是全面尽调、实缴确认、异常认定或登记完成证明。尚未外发。</w:t>
      </w:r>
    </w:p>
    <w:p>
      <w:pPr>
        <w:pStyle w:val="Heading1"/>
      </w:pPr>
      <w:r>
        <w:t>一、先定版本，不以草案或较晚消息改法</w:t>
      </w:r>
    </w:p>
    <w:p>
      <w:r>
        <w:t>第784号令2024-06-07会议通过、2024-07-01公布并自公布施行；不能从6月7日起施。公司法2023-12-29修订、2024-07-01起施。2月6日总局解读明确针对征求意见稿，其30年以上/10亿元是研判线索而非自动异常；本轮按正式第3条结合具体因素审阅，不引入2025规则倒灌。</w:t>
      </w:r>
    </w:p>
    <w:p>
      <w:r>
        <w:t>S01第2条区分存量有限公司的剩余期限调整与存量股份公司发起人缴足；新设普通有限公司依公司法47条自成立起五年。例外须国家利益/重大公共利益情形、有关主管部门或省级政府提出意见，以及国务院市场监督管理部门同意。省级意见不是已获准，企业自称战略/AI项目更不等批准。</w:t>
      </w:r>
    </w:p>
    <w:p>
      <w:pPr>
        <w:pStyle w:val="Heading1"/>
      </w:pPr>
      <w:r>
        <w:t>二、处理口径与执行边界</w:t>
      </w:r>
    </w:p>
    <w:p>
      <w:r>
        <w:t>存量有限公司超过五年分支：在2027-06-30前将自2027-07-01起剩余期限调整至五年内，记载章程并依调整后期限缴足；不要求所有公司立即缴足，也不把2027统一延到2032。原期限已较短不代表股东原义务免除。本包不计算临界日案件，不提出未经核查的减资/注销捷径。</w:t>
      </w:r>
    </w:p>
    <w:p>
      <w:r>
        <w:t>实际调整信息产生后，第4条为20个工作日内通过国家企业信用信息公示系统公示，非20自然日、内部审阅日或仅意向日期起算。未给官方工作日历，不伪算精确截止。第3条异常研判由机关依法处理；本题金额/期限与未审资产台账只能提示补证，不替机关认定。</w:t>
      </w:r>
    </w:p>
    <w:p>
      <w:r>
        <w:br w:type="page"/>
      </w:r>
    </w:p>
    <w:p>
      <w:pPr>
        <w:pStyle w:val="Heading1"/>
      </w:pPr>
      <w:r>
        <w:t>三、六对象逐项结论（金额单位：万元）</w:t>
      </w:r>
    </w:p>
    <w:p>
      <w:r>
        <w:t>C01｜LLC；成立/登记2019-04-12；资本1200万元；原约定2040-12-31。按2027-07-01起剩余期限超过五年的分支，在2027-06-30前调整至五年内并记载章程；股东按调整后期限缴足。 未提出特别安排，无获准事实。</w:t>
      </w:r>
    </w:p>
    <w:p>
      <w:r>
        <w:t>C02｜LLC；成立/登记2020-09-10；资本800万元；原约定2030-12-31。从2027-07-01看剩余不足五年，不因本过渡条款强制缩短；原章程到期义务保留，不能自动延后或称已实缴。 未提出特别安排，无获准事实。</w:t>
      </w:r>
    </w:p>
    <w:p>
      <w:r>
        <w:t>C03｜JSC；成立/登记2017-03-14；资本6000万元；原约定2035-12-31。发起人应在2027-06-30前全额缴纳认购股款，不再另加五年。 未提出特别安排，无获准事实。</w:t>
      </w:r>
    </w:p>
    <w:p>
      <w:r>
        <w:t>C04｜LLC；成立/登记2018-06-20；资本2000万元；原约定2040-12-31。按2027-07-01起剩余期限超过五年的分支，在2027-06-30前调整至五年内并记载章程；股东按调整后期限缴足。 若主张例外，由项目法务取得并交负责律师核对国务院市场监督管理部门同意材料及适用条件；取得前不承诺获准。 已有省级意见，但未取得国务院市场监管部门同意；不得按原期限已获准处理。</w:t>
      </w:r>
    </w:p>
    <w:p>
      <w:r>
        <w:t>C05｜LLC；成立/登记2024-07-02；资本300万元；原约定2037-12-31。按公司法第47条自2024-07-02成立起五年内缴足核查；给定原2037-12-31安排须依本规则复核，不套存量过渡。本案原期限明显超出，应纠正。 未提出特别安排，无获准事实。</w:t>
      </w:r>
    </w:p>
    <w:p>
      <w:r>
        <w:t>C06｜LLC；成立/登记2015-02-03；资本200000万元；原约定2065-12-31。按2027-07-01起剩余期限超过五年的分支，在2027-06-30前调整至五年内并记载章程；股东按调整后期限缴足。 未提出特别安排，无获准事实。</w:t>
      </w:r>
    </w:p>
    <w:p>
      <w:r>
        <w:t>C02补充：自给定相关信息产生2024-07-03起20个工作日内在国家企业信用信息公示系统公示；未给官方工作日历，不伪算精确截止日。</w:t>
      </w:r>
    </w:p>
    <w:p>
      <w:r>
        <w:t>C06补证：向项目法务/财务取得主营项目、经营状况、股东出资能力、资产规模依据；正式条文没有直接按30年/10亿自动认定的固定线。负责人律师核实后再给适用/调整建议，未收到机关认定或公示回执。</w:t>
      </w:r>
    </w:p>
    <w:p>
      <w:pPr>
        <w:pStyle w:val="Heading1"/>
      </w:pPr>
      <w:r>
        <w:t>四、阅读与保密边界</w:t>
      </w:r>
    </w:p>
    <w:p>
      <w:r>
        <w:t>只保留核查代号、类型、原日级日期及金额/单位，未带原公司名、联系人或内部项目编号；不能为脱敏把日期年份化、金额抹掉或把全部对象合并。Office不嵌源文件/截图/外链或映射表，属性/批注/隐藏页等一并扫描。disclosure_check.json记录本次真实文件哈希与扫描范围，不代表专家签字、法院/登记机关批准或可信执行签章。</w:t>
      </w:r>
    </w:p>
    <w:p>
      <w:r>
        <w:t>来源：S01司法部原PDF第2–4/13条；S02公司法47/266与历史草案解释索引转录（直连403披露）。抓取2026-10-20不是法规生效日期。S03/S04/S05均原创演练，不是真实企业记录、政府意见原件或外发授权。</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投资方阅读版｜待负责律师复核</dc:title>
  <dc:subject/>
  <dc:creator>Work50</dc:creator>
  <cp:keywords/>
  <dc:description>generated by python-docx</dc:description>
  <cp:lastModifiedBy/>
  <cp:revision>1</cp:revision>
  <dcterms:created xsi:type="dcterms:W3CDTF">2013-12-23T23:15:00Z</dcterms:created>
  <dcterms:modified xsi:type="dcterms:W3CDTF">2013-12-23T23:15:00Z</dcterms:modified>
  <cp:category/>
</cp:coreProperties>
</file>