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EU研究启动资料复核｜R2→R3</w:t>
      </w:r>
    </w:p>
    <w:p>
      <w:r>
        <w:t>基准：2025-07-24 10:00 Europe/Amsterdam。原创训练案例；待有权负责人审阅，非伦理/监管批准或医疗建议。</w:t>
      </w:r>
    </w:p>
    <w:p>
      <w:pPr>
        <w:pStyle w:val="Heading1"/>
      </w:pPr>
      <w:r>
        <w:t>结论：暂缓，不是“R3上线即获批”</w:t>
      </w:r>
    </w:p>
    <w:p>
      <w:r>
        <w:t>六项全部保留：M01/M05/M06为HOLD，M04为CLARIFY_HOLD，M02/M03须REVISE；4项阻断/询证、2项修订。总体HOLD_FOR_EVIDENCE_AND_AUTHORIZED_REVIEW，external_release=false。未激活系统、招募/入组参与者、取得任何真实签字或发送通知。</w:t>
      </w:r>
    </w:p>
    <w:p>
      <w:pPr>
        <w:pStyle w:val="Heading1"/>
      </w:pPr>
      <w:r>
        <w:t>版本、时间和变化不能混写</w:t>
      </w:r>
    </w:p>
    <w:p>
      <w:r>
        <w:t>R2的ICH采纳为2016-11-09，CHMP最终采纳2016-12-15，欧盟起施2017-06-14。R3的ICH Step4为2025-01-06；EMA文件封面分别列CHMP最终采纳2024-12-12、文件日期2025-01-23、起施2025-07-23。保留不同事件标签，不以日期看似逆序就改原文；1月6日不是全球生效日。基准日的EU核对使用S02的Principles/Annex1，不外推美国/中国，不用后来整合版Annex2。</w:t>
      </w:r>
    </w:p>
    <w:p>
      <w:r>
        <w:t>R2已要求风险导向质量管理、CRO书面分工/申办方监督及计算机化系统风险验证，不能全标“R3新增”。R3对服务提供者、电子/远程同意、全生命周期配置/接口验证与站点系统激活给出进一步细化；电子或远程允许不等于强制，也不替代伦理和适用地区要求。</w:t>
      </w:r>
    </w:p>
    <w:p>
      <w:pPr>
        <w:pStyle w:val="Heading1"/>
      </w:pPr>
      <w:r>
        <w:t>唯一不可自行消解的证据冲突</w:t>
      </w:r>
    </w:p>
    <w:p>
      <w:r>
        <w:t>M04：S04登记PASS与S05审计轨迹明细FAIL，同为EU01/build2.4/QA-24-017、2025-07-22 16:00。未提供可判优先的受控签署/更正链，故既不断言系统确定通过，也不当成已查明系统必然失败。请申办方QA证据所有人说明正式受控结论、原始运行与环境、异常处置及更正链。澄清前不能作为已验证放行；原输入保留。</w:t>
      </w:r>
    </w:p>
    <w:p>
      <w:r>
        <w:br w:type="page"/>
      </w:r>
    </w:p>
    <w:p>
      <w:pPr>
        <w:pStyle w:val="Heading1"/>
      </w:pPr>
      <w:r>
        <w:t>先补什么，由谁复核</w:t>
      </w:r>
    </w:p>
    <w:p>
      <w:r>
        <w:t>M01 同意材料与过程｜研究者/伦理联络人：取得v1.1材料与过程相应伦理意见、身份核验及适配证据后再议启用；本题不授权绕用v1.0招募。 关闭证据：批准范围/版本、身份核验流程、研究者确认；不是平台上线截图。</w:t>
      </w:r>
    </w:p>
    <w:p>
      <w:r>
        <w:t>M02 委托与监督｜申办方项目负责人/合同岗：明确新增职责、机构/研究者权限与适用要求，必要时更新协议并制定监督/升级；不能把技术工单当已转移临床职责。 关闭证据：受控职责与协议、合格性/监督资料；不伪造签署。</w:t>
      </w:r>
    </w:p>
    <w:p>
      <w:r>
        <w:t>M03 质量风险计划｜申办方质量负责人/研究者：识别同意版本/有效过程、主要终点采集完整性两类关键因素，记录风险、控制、责任与升级；阈值须按方案/风险制定，不编统一1%或100%SDV。 关闭证据：修订质量风险计划及控制依据，保留为什么控制与风险相称。</w:t>
      </w:r>
    </w:p>
    <w:p>
      <w:r>
        <w:t>M04 同一验证结论冲突｜申办方QA证据所有人：询证同编号/版本/站点的正式受控结论及签署依据，核原始测试/异常处置与更正链；澄清前不作为已验证放行。 关闭证据：QA明确答复、原始运行/审计轨迹、异常处理和可追踪更正；不能只给营销口头保证。</w:t>
      </w:r>
    </w:p>
    <w:p>
      <w:r>
        <w:t>M05 版本与配置验证｜系统责任方/申办方验证负责人：核本试验用途、版本、配置和接口，评估变化对既有/新数据的影响并补相应验证/留档；M04澄清不替代本项补证。 关闭证据：风险评估、需求—测试追踪、本试验配置/接口验证与变更记录。</w:t>
      </w:r>
    </w:p>
    <w:p>
      <w:r>
        <w:t>M06 站点必要批准与激活｜申办方启动负责人/站点负责人：索取EU02全部相关必要批准与适用性核对，完成站点放行复核后再议激活；当前也不宣称EU01整体可启动。 关闭证据：EU02必要批准清单/对应版本及授权审核记录；本次只有候选建议。</w:t>
      </w:r>
    </w:p>
    <w:p>
      <w:pPr>
        <w:pStyle w:val="Heading1"/>
      </w:pPr>
      <w:r>
        <w:t>本次没有证明什么</w:t>
      </w:r>
    </w:p>
    <w:p>
      <w:r>
        <w:t>v1.0纸面同意的EU01意见不覆盖v1.1视频/远程过程，也不覆盖EU02全部必要批准。M04澄清不自动关闭M05配置/接口缺证。只有风险与用途相称的验证补证，不要求一律从零重测；不擅设1%容忍度、100%源数据核查、强制电子同意或统一完成天数。具体控制和期限由方案/风险及有权责任人确定。</w:t>
      </w:r>
    </w:p>
    <w:p>
      <w:r>
        <w:t>依据：S01 EMA E6(R2) §4.8.1–2/5.0/5.2/5.5.3/8.2；S02 EMA E6(R3) §2.8.1–2/3.6/3.9/3.10/4.3.4–5；S03委托与消息、S04登记、S05原始测试摘录。官方PDF保留EMA版权和转载许可；原创案例及本中文分析不由EMA/ICH背书。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仅交资料差异与待办建议 · 不替代伦理、监管、研究者或申办方授权决定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SC" w:hAnsi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