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D0未审培训稿｜须纠正</w:t>
      </w:r>
    </w:p>
    <w:p>
      <w:pPr>
        <w:pStyle w:val="Heading1"/>
      </w:pPr>
      <w:r>
        <w:t>原创错误草稿，不是可引用规范</w:t>
      </w:r>
    </w:p>
    <w:p>
      <w:r>
        <w:t>D0-1：2023办法已全面废止2016十一号令，处罚也不再看旧令。</w:t>
      </w:r>
    </w:p>
    <w:p>
      <w:r>
        <w:t>D0-2：所有无干预/去标识化/合法公开数据都自动免审，主任一个人就能批准简易，免审也等于免知情同意。</w:t>
      </w:r>
    </w:p>
    <w:p>
      <w:r>
        <w:t>D0-3：多机构只需牵头批件；参与点不再审查或跟踪。</w:t>
      </w:r>
    </w:p>
    <w:p>
      <w:r>
        <w:t>D0-4：监护人签字即足够，可不再向参与者解释；写已审批即可开始研究。</w:t>
      </w:r>
    </w:p>
    <w:p>
      <w:r>
        <w:t>D0-5：企业无需伦理审查；三级医院可委托任何低等级医院委员会，不必核能力和书面委托。</w:t>
      </w:r>
    </w:p>
    <w:p>
      <w:r>
        <w:t>D0-6：所有委员会均设立后3个月，既获批研究也一律3个月；受理后30个工作日出意见，疫情72小时可以降要求。</w:t>
      </w:r>
    </w:p>
    <w:p>
      <w:r>
        <w:t>D0-7：J按R1非商业用途继续当免审候选；只改讲师Word，不用动工作簿/课件；输入改后旧回执照用。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