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讲师与办公室交接｜待机构审阅</w:t>
      </w:r>
    </w:p>
    <w:p>
      <w:r>
        <w:t>基准2023-03-01 10:00 Asia/Shanghai。面向研究人员、学生及科研管理人员；业务/案例/SOP原创，政策来自真实冻结来源。12情境均未取得伦理批准或开研授权。</w:t>
      </w:r>
    </w:p>
    <w:p>
      <w:pPr>
        <w:pStyle w:val="Heading1"/>
      </w:pPr>
      <w:r>
        <w:t>一、讲前必须纠正的旧稿</w:t>
      </w:r>
    </w:p>
    <w:p>
      <w:r>
        <w:t>T1 两办法并行：2016十一号令为部门规章；2023统一制度指导实践，医疗机构违规可据11号令处理，不写全面废止。（S03第七问；S01第45–49条）</w:t>
      </w:r>
    </w:p>
    <w:p>
      <w:r>
        <w:t>T2 适用主体：2023覆盖医疗卫生机构、高等学校、科研院所等；不是仅医院，也不因学生作业自动排除。（S02第2–3条）</w:t>
      </w:r>
    </w:p>
    <w:p>
      <w:r>
        <w:t>T3 一般/简易：一般会议审查；符合简易条件可由主任委员指定两个或以上委员，意见不一致等须转会议。（S02第15/31条；S01第24条仅作旧规范对照）</w:t>
      </w:r>
    </w:p>
    <w:p>
      <w:r>
        <w:t>T4 免审不是免同意：第32条有无伤害/无敏感个人信息或商业利益等前提；匿名化不等去标识化。2016医疗机构适用范围内的免除签署制度与免除伦理审查不同，不能由32条自行免签。（S02第32/33条；S01第39条（医疗机构范围））</w:t>
      </w:r>
    </w:p>
    <w:p>
      <w:r>
        <w:t>T5 多机构：牵头与参与机构均应组织伦理审查，参与机构还需跟踪；可依法采用简易确认，不直接拿牵头意见替代。（S02第27/31(四)条）</w:t>
      </w:r>
    </w:p>
    <w:p>
      <w:r>
        <w:t>T6 委托：书面委托有能力的机构或区域委员会；医疗机构还需不低于本机构等级的医疗委员会或区域委员会，受托须跟踪。（S02第5/14条）</w:t>
      </w:r>
    </w:p>
    <w:p>
      <w:r>
        <w:t>T7 知情同意：限制/无民事行为能力者需监护人书面同意，同时在参与者可理解范围告知并征得其同意，不能只收签字。（S02第34条）</w:t>
      </w:r>
    </w:p>
    <w:p>
      <w:r>
        <w:t>T8 时间和上传：受理后30天内开展审查并出意见；紧急情况及时，疫情突发一般72小时，不降低质量；获批研究实施前各主体上传并及时更新。（S02第16/24条）</w:t>
      </w:r>
    </w:p>
    <w:p>
      <w:r>
        <w:t>T9 备案起点：新设委员会设立后3个月备案；既设委员会过渡6个月、既获批研究9个月分别按第54条起点，不混为一条。年度报告每年3月31日前。（S02第13/54条；S01第14/50条）</w:t>
      </w:r>
    </w:p>
    <w:p>
      <w:r>
        <w:t>T10 变化再审：批准后修改方案/同意书/招募等须提交审查；未授权同事无权替委员会批准或覆盖负责人受控补充。（S02第23/30条；S05/S06原创权限）</w:t>
      </w:r>
    </w:p>
    <w:p>
      <w:r>
        <w:br w:type="page"/>
      </w:r>
    </w:p>
    <w:p>
      <w:pPr>
        <w:pStyle w:val="Heading1"/>
      </w:pPr>
      <w:r>
        <w:t>二、讨论组织与关键追问</w:t>
      </w:r>
    </w:p>
    <w:p>
      <w:r>
        <w:t>先由学员判断“缺证/候选/需组织审查”，再追问依据、缺口和下一责任人。委员会依法决定，秘书只汇总/核形式。免审候选交机构核定是S08内部培训操作，不假称条文直接授予秘书此权。</w:t>
      </w:r>
    </w:p>
    <w:p>
      <w:r>
        <w:t>A｜补风险资料，未定程序：补风险与科学性等申请材料，由委员会判断程序，秘书不得从无干预推定最小风险。</w:t>
      </w:r>
    </w:p>
    <w:p>
      <w:r>
        <w:t>B｜免审候选，交机构核定：给定前提可提出32(一)免审候选，按本团队流程交机构核定；不是秘书已作伦理批准。</w:t>
      </w:r>
    </w:p>
    <w:p>
      <w:r>
        <w:t>C｜未证匿名化，不直接免审：保留映射钥匙不能当已匿名；补数据可识别性/来源/用途资料，不直接免审。</w:t>
      </w:r>
    </w:p>
    <w:p>
      <w:r>
        <w:t>D｜简易候选，至少两委员：符合给定小改/不影响风险受益条件，可申请简易，由主任指定两个或以上委员并向会议报告。</w:t>
      </w:r>
    </w:p>
    <w:p>
      <w:r>
        <w:t>E｜转会议审查：简易中委员意见不一致，转会议审查；不得按多数或主任单签强过。</w:t>
      </w:r>
    </w:p>
    <w:p>
      <w:r>
        <w:t>F｜本机构审查并跟踪：牵头已批不代本机构审查/跟踪；可依法走参与机构简易确认，不能直接开研。</w:t>
      </w:r>
    </w:p>
    <w:p>
      <w:r>
        <w:t>G｜书面委托有能力委员会：独立企业可书面委托有能力机构委员会或区域委员会，受托需跟踪；不编企业医院等级要求或伪造已受托。</w:t>
      </w:r>
    </w:p>
    <w:p>
      <w:r>
        <w:t>H｜委托等级不符，重新选择：拟受托医院等级低于委托方，改选不低等级的有能力医疗委员会或区域委员会；书面委托、跟踪及本机构设委责任均待落实。</w:t>
      </w:r>
    </w:p>
    <w:p>
      <w:r>
        <w:t>I｜补参与者告知与同意：除监护人书面同意外，还须在参与者可理解范围告知并征得其同意；本题未完成，不宣布可入组。</w:t>
      </w:r>
    </w:p>
    <w:p>
      <w:r>
        <w:t>J｜商业利益，不按32条免审：不能仅因公开/匿名主张第32条免审；提交机构按事实核定审查路径。</w:t>
      </w:r>
    </w:p>
    <w:p>
      <w:r>
        <w:t>K｜既设委员会过渡备案：既设委员会按54条过渡6个月办理并上传，不套新设3个月；不在未核发布起点时伪算精确截止日。</w:t>
      </w:r>
    </w:p>
    <w:p>
      <w:r>
        <w:t>L｜新设委员会三个月备案：新设委员会按设立起3个月备案/上传；医疗向执业登记机关，其他按隶属向上级主管；年度报告另看3月31日。</w:t>
      </w:r>
    </w:p>
    <w:p>
      <w:r>
        <w:br w:type="page"/>
      </w:r>
    </w:p>
    <w:p>
      <w:pPr>
        <w:pStyle w:val="Heading1"/>
      </w:pPr>
      <w:r>
        <w:t>三、真实依赖工作流和范围</w:t>
      </w:r>
    </w:p>
    <w:p>
      <w:r>
        <w:t>重建命令：python3 workflow.py build --input-dir /app/input_files --output-dir /app/output --work-dir /tmp/med003-new-run。使用一个尚无state.json的新工作目录，保留旧运行证据。验证：python3 workflow.py verify --input-dir /app/input_files --output-dir /app/output --work-dir /tmp/med003-new-run。stage S5等只在前置完成且哈希一致时可运行。</w:t>
      </w:r>
    </w:p>
    <w:p>
      <w:r>
        <w:t>S0冻结10输入；S1规则与S2受控事实并行依赖S0；S3须两者合并；S4教学口径依赖规则；S5/S6/S7分别生成工作簿/课件/讲师说明；S8勾稽三产物；S9只签发内部待审回执。J按有权R2为“商业利益，不按32条免审”，晚到无权便笺不能覆盖。快照/节点/产物任一被改，verify必须拒绝；重新构建不得沿用旧receipt。</w:t>
      </w:r>
    </w:p>
    <w:p>
      <w:r>
        <w:t>变更责任：培训负责人核业务补充，伦理办公室核法规/程序，讲师同步全部课件，研究负责人补实际审查材料。后台备案/上传、临床安全、机构执业/能力、参与者知情同意实际取得与专家签字均未执行。未给完整事实不裁定临床风险/适当性，不伪造审批。</w:t>
      </w:r>
    </w:p>
    <w:p>
      <w:r>
        <w:t>时点：2016公布10月12日/起施12月1日；2023通知落款2月18日，自发布起施；2月27日为官方解读发布日期，不据此冒称通知准确发布时刻。不把公报下载地址2023/202305或后期上传文件名当法律起算；具体过渡截止日未要求、未伪算。K在2月1日设立、L在3月1日设立，分别位于前/后明确范围；若新案例落在落款与已知公开解读之间，应转核准确起点而不是机械分类。</w:t>
      </w:r>
    </w:p>
    <w:p>
      <w:r>
        <w:t>S01/S02为官方公报页面节选，保留原印刷页码；S02首提取页上方可能含前一条公报尾段，不属于本办法。S03为官方索引原文转录而非已下载原HTML，直连412已披露。取证2026-10-20，不是2023现场记录或授权。</w:t>
      </w:r>
    </w:p>
    <w:sectPr w:rsidR="00FC693F" w:rsidRPr="0006063C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