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来源与字段登记｜非完整历史档案</w:t>
      </w:r>
    </w:p>
    <w:p>
      <w:pPr>
        <w:pStyle w:val="Heading1"/>
      </w:pPr>
      <w:r>
        <w:t>真实源与未取得材料</w:t>
      </w:r>
    </w:p>
    <w:p>
      <w:r>
        <w:t>S01–04为真实FDA官方页面/邮件正文阅读器转录；S01主网页直接下载被防护redirect到404，未假称成功；S03邮件HTML确实已下载；S04直连TLS失败但web阅读器全文取得。原失败/原阅读器输出留在作者区，不需solver联网。</w:t>
      </w:r>
    </w:p>
    <w:p>
      <w:r>
        <w:t>S01完整affected.xlsx和两PNG未取得，本包无伪造附件。只按S01四组精确型号/UDI做给定清单复核，其他型号不认定安全。没有声称已经取得/核完整厂商User Manual Addendum；S07的yes为虚构内部登记事实，SOP可作本次交接证据，非现实供应商确认。</w:t>
      </w:r>
    </w:p>
    <w:p>
      <w:pPr>
        <w:pStyle w:val="Heading1"/>
      </w:pPr>
      <w:r>
        <w:t>字段解释</w:t>
      </w:r>
    </w:p>
    <w:p>
      <w:r>
        <w:t>S05资产ID唯一，UDI-DI按字符串保留前导零；custody=transferred仍属本次追踪范围，不从合计删掉。product_label不能替代型号/UDI。</w:t>
      </w:r>
    </w:p>
    <w:p>
      <w:r>
        <w:t>S06 installed_version是观察记录，不做小数或大小比较；primary同as_of平级，sales_note仅留言无权修正原记录。unknown保持未知。</w:t>
      </w:r>
    </w:p>
    <w:p>
      <w:r>
        <w:t>S07 sensor_history只说明给定历史关注；deposit_concern/未服务闭环不被软件更新解除，unknown需问实；current_addendum_checked/current_guidance_briefed的yes/no仅题给内部事实。</w:t>
      </w:r>
    </w:p>
    <w:p>
      <w:r>
        <w:t>S08 latest_notice_and_addendum_ack是题给接收方登记boolean，旧4月信息回执不自动等于最新5月更正及补充说明确认。所有接口均虚构角色、不提供真实患者或外部联系凭证。</w:t>
      </w:r>
    </w:p>
    <w:p>
      <w:r>
        <w:t>Installed Skill的SOP与脚本作为本题团队工作流，权限与状态必须实际约束结果。输入数量/规则复杂度只是作者拟定C3的依据，A2是未实测目标。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