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14台设备FDA更正｜内部风险通报待审</w:t>
      </w:r>
    </w:p>
    <w:p>
      <w:r>
        <w:t>致美国院区质量负责人及临床工程/呼吸治疗接口。业务2026-10-20 17:00 America/New_York；真实源取证2026-10-21 UTC，不是2025存档。本批14台与维修/培训/交接记录均为原创训练情境，无真实患者。本文未发送，不作设备/患者处置命令或临床放行。</w:t>
      </w:r>
    </w:p>
    <w:p>
      <w:pPr>
        <w:pStyle w:val="Heading1"/>
      </w:pPr>
      <w:r>
        <w:t>当前结论：实际Skill结果已改变D0</w:t>
      </w:r>
    </w:p>
    <w:p>
      <w:r>
        <w:t>已实际执行device-correction-review，身份暂停1台D08，平级维修证据矛盾暂停1台D09，行动待办9台，仅给定内部证据齐备可交有权人复核2台D01/D13，本四组矩阵未匹配1台D10。总14含3台已转出，缺新版接收确认2台D06/D07，临床放行0。工作簿逐台状态/证据与skill_evidence.json一致；不是只归档Skill调用后批量PASS。</w:t>
      </w:r>
    </w:p>
    <w:p>
      <w:pPr>
        <w:pStyle w:val="Heading1"/>
      </w:pPr>
      <w:r>
        <w:t>公告、事件与新旧建议</w:t>
      </w:r>
    </w:p>
    <w:p>
      <w:r>
        <w:t>S02是2024年电源算法事件，1.05.06.00的例外不能排除S01的2026年三类问题；D02仍需按当前美国型号核更新。软件版本不作小数比较，D14的1.06.15.00不能凭数字大就认已完成，也不据本稿指令降级。</w:t>
      </w:r>
    </w:p>
    <w:p>
      <w:r>
        <w:t>S01记FDA2026-04-15通报；S03为4月16日07:18 EDT邮件；厂商4月24日追函是另一层事件；S04为5月28日10:52 EDT更新邮件，明确替换厂商此前不使用非气动雾化器建议。现为按正确回路位置和指导条件可使用，不永久照旧禁用，也不反向称全部回路、模式均无风险。</w:t>
      </w:r>
    </w:p>
    <w:p>
      <w:r>
        <w:t>Class I提示严重伤害/死亡风险，但本事件是correction，不是从使用/销售处移除设备的产品撤回命令。纠正/替代支持和患者管理应由临床工程、呼吸治疗及临床负责人依最新文献/个体情况处理；分析助理不令所有患者直接停机、改报警/通气参数或自行安装/维修。</w:t>
      </w:r>
    </w:p>
    <w:p>
      <w:r>
        <w:br w:type="page"/>
      </w:r>
    </w:p>
    <w:p>
      <w:pPr>
        <w:pStyle w:val="Heading1"/>
      </w:pPr>
      <w:r>
        <w:t>三类问题不能用一个PASS掩盖</w:t>
      </w:r>
    </w:p>
    <w:p>
      <w:r>
        <w:t>短暂性能/监测影响：S01说明非气动雾化在被动回路AC-VC/SIMV/AVAPS等条件可能存在潮气量递送/监测差异；气动雾化也可能跨回路影响。D05转交呼吸治疗核实际配置及监测，不由助理定治疗参数。D12成人双支回路对非气动的可用测试未显示影响，只限其测试条件，非全场景无风险。</w:t>
      </w:r>
    </w:p>
    <w:p>
      <w:r>
        <w:t>内部传感器沉积：雾化位置可导致内部流量传感器沉积，影响流量计算并产生过量潮气量、氧浓度不足或设备不能通气等风险。受影响传感器需要合格服务评估/更换；D03已升级也不能代替未闭环的沉积服务。上一类“治疗完成后预计准确性恢复”不能扩为沉积损伤自动消失。</w:t>
      </w:r>
    </w:p>
    <w:p>
      <w:r>
        <w:t>阻塞报警时间：源说明部分情况下不满足两呼吸周期或5秒标准，某些模式可延迟至4次呼吸；不泛化成每个设备都固定延迟，也不编出统一临床报警设置。</w:t>
      </w:r>
    </w:p>
    <w:p>
      <w:r>
        <w:t>报告不是风险总量：S02截至May13 2024在相应MAUDE口径无严重伤害或死亡报告；S04指出2026此前报告3严重伤害，截至May27未报告额外严重伤害/死亡。不同事件和时点不能直接相加、称从未伤害或证明零风险。</w:t>
      </w:r>
    </w:p>
    <w:p>
      <w:pPr>
        <w:pStyle w:val="Heading1"/>
      </w:pPr>
      <w:r>
        <w:t>闭环顺序和权限</w:t>
      </w:r>
    </w:p>
    <w:p>
      <w:r>
        <w:t>先由临床工程核D08身份、D09同观察时点平级证据矛盾、D11未知软件/历史、D14美国型号/地区版本适用；未补证不择晚营销便笺。再同步产品/服务、文控、培训与转出待办；D06/D07需最新通知及User Manual Addendum接收确认，D13已有题给确认也不删除追踪。D01/D13仅交有权人复核，不能写已临床批准。</w:t>
      </w:r>
    </w:p>
    <w:p>
      <w:r>
        <w:t>S01四组型号/UDI是本次给定矩阵，不是已取得的全产品清单。完整affected.xlsx与原图取得失败，未补造，不能宣称D10全球无其他召回。未取得完整厂商补充说明，S07的yes仅题给内部登记，不充当真实厂商证书。Skill SOP是虚构院区授权工作流，不冒称FDA官方审批标准或专家签字。</w:t>
      </w:r>
    </w:p>
    <w:sectPr w:rsidR="00FC693F" w:rsidRPr="0006063C" w:rsidSect="00034616">
      <w:footerReference w:type="default" r:id="rId9"/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原创美国院区训练记录｜内部待审、未发送、未操作或临床放行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