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color w:val="1F4E79"/>
          <w:sz w:val="30"/>
        </w:rPr>
        <w:t>TALLOWFIELD 05:00 SHIFT — STAFFING DECISION BRIEF</w:t>
      </w:r>
    </w:p>
    <w:p>
      <w:pPr>
        <w:spacing w:after="100"/>
      </w:pPr>
      <w:r>
        <w:rPr>
          <w:b/>
          <w:sz w:val="17"/>
        </w:rPr>
        <w:t>Northmere Mobility | Tallowfield airport counter | To: Priya Ashworth, Regional Lead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728"/>
      </w:tblGrid>
      <w:tr>
        <w:trPr>
          <w:cantSplit/>
        </w:trPr>
        <w:tc>
          <w:tcPr>
            <w:tcW w:type="dxa" w:w="10858"/>
            <w:shd w:fill="D9EAF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F4E79"/>
                <w:sz w:val="16"/>
              </w:rPr>
              <w:t>Decision question (not a recommendation): can the second staffed position on the 05:00 shift be removed while the operating model transitions toward its documented end state?</w:t>
            </w:r>
          </w:p>
        </w:tc>
      </w:tr>
    </w:tbl>
    <w:p>
      <w:pPr>
        <w:spacing w:after="0"/>
      </w:pPr>
    </w:p>
    <w:p>
      <w:pPr>
        <w:spacing w:after="40"/>
      </w:pPr>
      <w:r>
        <w:rPr>
          <w:b/>
          <w:color w:val="1F4E79"/>
          <w:sz w:val="19"/>
        </w:rPr>
        <w:t>Observed evidence — 13 weeks (06 Jan–06 Apr 2025)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0"/>
        <w:gridCol w:w="2520"/>
        <w:gridCol w:w="2808"/>
        <w:gridCol w:w="2880"/>
      </w:tblGrid>
      <w:tr>
        <w:trPr>
          <w:cantSplit/>
        </w:trPr>
        <w:tc>
          <w:tcPr>
            <w:tcW w:type="dxa" w:w="2714"/>
            <w:shd w:fill="1F4E7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05:00-shift arrivals</w:t>
            </w:r>
          </w:p>
        </w:tc>
        <w:tc>
          <w:tcPr>
            <w:tcW w:type="dxa" w:w="2714"/>
            <w:shd w:fill="1F4E7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Concentrated band</w:t>
            </w:r>
          </w:p>
        </w:tc>
        <w:tc>
          <w:tcPr>
            <w:tcW w:type="dxa" w:w="2714"/>
            <w:shd w:fill="1F4E7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Queue wait (median)</w:t>
            </w:r>
          </w:p>
        </w:tc>
        <w:tc>
          <w:tcPr>
            <w:tcW w:type="dxa" w:w="2714"/>
            <w:shd w:fill="1F4E7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All counter activity</w:t>
            </w:r>
          </w:p>
        </w:tc>
      </w:tr>
      <w:tr>
        <w:trPr>
          <w:cantSplit/>
        </w:trPr>
        <w:tc>
          <w:tcPr>
            <w:tcW w:type="dxa" w:w="2714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156</w:t>
              <w:br/>
              <w:t>Arrivals scheduled 05:00–05:59; excludes other counter activity</w:t>
            </w:r>
          </w:p>
        </w:tc>
        <w:tc>
          <w:tcPr>
            <w:tcW w:type="dxa" w:w="2714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96 / 156 (61.5%)</w:t>
              <w:br/>
              <w:t>05:00–05:40; 84 prepaid web (87.5%)</w:t>
            </w:r>
          </w:p>
        </w:tc>
        <w:tc>
          <w:tcPr>
            <w:tcW w:type="dxa" w:w="2714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12.4 min vs 4.1 min</w:t>
              <w:br/>
              <w:t>Band vs 05:40–06:00 baseline; timestamp sample</w:t>
            </w:r>
          </w:p>
        </w:tc>
        <w:tc>
          <w:tcPr>
            <w:tcW w:type="dxa" w:w="2714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1,284 records</w:t>
              <w:br/>
              <w:t>Headline volume includes 1,128 non-arrival activities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328"/>
        <w:gridCol w:w="5400"/>
      </w:tblGrid>
      <w:tr>
        <w:trPr>
          <w:cantSplit/>
        </w:trPr>
        <w:tc>
          <w:tcPr>
            <w:tcW w:type="dxa" w:w="5429"/>
            <w:vAlign w:val="top"/>
          </w:tcPr>
          <w:p>
            <w:pPr>
              <w:spacing w:after="40"/>
            </w:pPr>
            <w:r>
              <w:rPr>
                <w:b/>
                <w:color w:val="1F4E79"/>
                <w:sz w:val="18"/>
              </w:rPr>
              <w:t>Timing, source mix &amp; service</w:t>
            </w:r>
          </w:p>
          <w:p>
            <w:pPr>
              <w:spacing w:after="40" w:line="240" w:lineRule="auto"/>
              <w:ind w:left="72"/>
            </w:pPr>
            <w:r>
              <w:t>• The 05:00–05:40 band carries 96 arrivals (61.5% of the defined 05:00-shift population), versus 60 in the surrounding 05:40–06:00 period. An all-period average would hide this concentration.</w:t>
            </w:r>
          </w:p>
          <w:p>
            <w:pPr>
              <w:spacing w:after="40" w:line="240" w:lineRule="auto"/>
              <w:ind w:left="72"/>
            </w:pPr>
            <w:r>
              <w:t>• Prepaid web is the dominant band source: 84/96 (87.5%). Outside the band, prepaid web is 20/60 (33.3%).</w:t>
            </w:r>
          </w:p>
          <w:p>
            <w:pPr>
              <w:spacing w:after="40" w:line="240" w:lineRule="auto"/>
              <w:ind w:left="72"/>
            </w:pPr>
            <w:r>
              <w:t>• Queue timestamps show median wait 12.4 minutes in-band versus 4.1 minutes in the comparable 05:40–06:00 baseline (same sampled-event measure). Association does not establish staffing as the cause.</w:t>
            </w:r>
          </w:p>
        </w:tc>
        <w:tc>
          <w:tcPr>
            <w:tcW w:type="dxa" w:w="5429"/>
            <w:vAlign w:val="top"/>
          </w:tcPr>
          <w:p>
            <w:pPr>
              <w:spacing w:after="40"/>
            </w:pPr>
            <w:r>
              <w:rPr>
                <w:b/>
                <w:color w:val="1F4E79"/>
                <w:sz w:val="18"/>
              </w:rPr>
              <w:t>Complaints &amp; fleet implications</w:t>
            </w:r>
          </w:p>
          <w:p>
            <w:pPr>
              <w:spacing w:after="60" w:line="240" w:lineRule="auto"/>
              <w:ind w:left="72"/>
            </w:pPr>
            <w:r>
              <w:t>• Complaint log: 18 cases in the period; 7 reference early queue/wait, 2 vehicle readiness, and 9 unrelated themes (billing, website, courtesy). Complaints report experience; they do not prove a sole cause or total dissatisfaction.</w:t>
            </w:r>
          </w:p>
          <w:p>
            <w:pPr>
              <w:spacing w:after="60" w:line="240" w:lineRule="auto"/>
              <w:ind w:left="72"/>
            </w:pPr>
            <w:r>
              <w:t>• Transfer ledger: 22 vehicles received by Tallowfield; 14 arrived before 04:30 and 8 after 06:00. Transfers are fleet movements, not customer demand, and their timing does not authorise a staffing change.</w:t>
            </w:r>
          </w:p>
        </w:tc>
      </w:tr>
    </w:tbl>
    <w:p>
      <w:pPr>
        <w:spacing w:before="60" w:after="40"/>
      </w:pPr>
      <w:r>
        <w:rPr>
          <w:b/>
          <w:color w:val="1F4E79"/>
          <w:sz w:val="18"/>
        </w:rPr>
        <w:t>Transition vs documented end-state scenario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00"/>
        <w:gridCol w:w="5400"/>
        <w:gridCol w:w="3528"/>
      </w:tblGrid>
      <w:tr>
        <w:trPr>
          <w:cantSplit/>
        </w:trPr>
        <w:tc>
          <w:tcPr>
            <w:tcW w:type="dxa" w:w="3619"/>
            <w:shd w:fill="1F4E7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State</w:t>
            </w:r>
          </w:p>
        </w:tc>
        <w:tc>
          <w:tcPr>
            <w:tcW w:type="dxa" w:w="3619"/>
            <w:shd w:fill="1F4E7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Documented condition</w:t>
            </w:r>
          </w:p>
        </w:tc>
        <w:tc>
          <w:tcPr>
            <w:tcW w:type="dxa" w:w="3619"/>
            <w:shd w:fill="1F4E7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Conditional projection</w:t>
            </w:r>
          </w:p>
        </w:tc>
      </w:tr>
      <w:tr>
        <w:trPr>
          <w:cantSplit/>
        </w:trPr>
        <w:tc>
          <w:tcPr>
            <w:tcW w:type="dxa" w:w="361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4"/>
              </w:rPr>
              <w:t>Transition</w:t>
            </w:r>
          </w:p>
        </w:tc>
        <w:tc>
          <w:tcPr>
            <w:tcW w:type="dxa" w:w="3619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Operating-model change in progress; second 05:00 position remains; no diversion assumed.</w:t>
            </w:r>
          </w:p>
        </w:tc>
        <w:tc>
          <w:tcPr>
            <w:tcW w:type="dxa" w:w="3619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96 band arrivals (observed basis).</w:t>
            </w:r>
          </w:p>
        </w:tc>
      </w:tr>
      <w:tr>
        <w:trPr>
          <w:cantSplit/>
        </w:trPr>
        <w:tc>
          <w:tcPr>
            <w:tcW w:type="dxa" w:w="361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4"/>
              </w:rPr>
              <w:t>End state (scenario)</w:t>
            </w:r>
          </w:p>
        </w:tc>
        <w:tc>
          <w:tcPr>
            <w:tcW w:type="dxa" w:w="3619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30% of band prepaid-web arrivals diverted to self-service key-drop; other arrivals unchanged.</w:t>
            </w:r>
          </w:p>
        </w:tc>
        <w:tc>
          <w:tcPr>
            <w:tcW w:type="dxa" w:w="3619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≈71 counter arrivals (96 − 30%×84); illustrative wait ≈9.2 min if wait scales linearly.</w:t>
            </w:r>
          </w:p>
        </w:tc>
      </w:tr>
    </w:tbl>
    <w:p>
      <w:pPr>
        <w:spacing w:before="60" w:after="20"/>
      </w:pPr>
      <w:r>
        <w:rPr>
          <w:b/>
          <w:sz w:val="16"/>
        </w:rPr>
        <w:t xml:space="preserve">Evidence summary for Priya: </w:t>
      </w:r>
      <w:r>
        <w:rPr>
          <w:sz w:val="16"/>
        </w:rPr>
        <w:t>the observed issue is concentrated prepaid-web demand and higher in-band waits during transition; the end-state figures are conditional assumptions, not a staffing recommendation or service-level guarantee.</w:t>
      </w:r>
    </w:p>
    <w:p>
      <w:pPr>
        <w:spacing w:before="20" w:after="0"/>
      </w:pPr>
      <w:r>
        <w:rPr>
          <w:b/>
          <w:sz w:val="13"/>
        </w:rPr>
        <w:t xml:space="preserve">Source / method: </w:t>
      </w:r>
      <w:r>
        <w:rPr>
          <w:sz w:val="13"/>
        </w:rPr>
        <w:t>tallowfield_operational_evidence.xlsx — Daily Closed Operational Reports, queue-timestamp export, complaint log and inter-branch fleet-transfer ledger; aggregates recomputed for 06 Jan–06 Apr 2025. Evidence does not establish a legal, safety or policy mandate.</w:t>
      </w:r>
    </w:p>
    <w:sectPr w:rsidR="00FC693F" w:rsidRPr="0006063C" w:rsidSect="00034616">
      <w:pgSz w:w="12240" w:h="15840"/>
      <w:pgMar w:top="547" w:right="691" w:bottom="490" w:left="69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