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58"/>
          <w:sz w:val="24"/>
        </w:rPr>
        <w:t>VELLUMSTONE SCHOOL DISTRICT</w:t>
        <w:br/>
        <w:t>EMERGENCY MANAGEMENT OFFICE</w:t>
      </w:r>
    </w:p>
    <w:p>
      <w:pPr>
        <w:jc w:val="right"/>
      </w:pPr>
      <w:r>
        <w:rPr>
          <w:i/>
        </w:rPr>
        <w:t>August 20, 2026</w:t>
      </w:r>
    </w:p>
    <w:p>
      <w:r>
        <w:t>Lars Lombardi</w:t>
        <w:br/>
        <w:t>Subrecipient, hazard-mitigation subaward</w:t>
      </w:r>
    </w:p>
    <w:p>
      <w:r>
        <w:rPr>
          <w:b/>
        </w:rPr>
        <w:t>RE: Specific Condition Notice — culvert activity</w:t>
      </w:r>
    </w:p>
    <w:p>
      <w:r>
        <w:t>Dear Mr. Lombardi:</w:t>
      </w:r>
    </w:p>
    <w:p>
      <w:r>
        <w:t>The Vellumstone School District Emergency Management Office is issuing this Specific Condition Notice for the hazard-mitigation subaward supporting your culvert activity. Approximately $140,000 has already been drawn, and the culvert work is approximately half complete. A specific condition is a temporary, written control addressing identified compliance or performance risk; this notice is not, by itself, a termination, suspension, debt acceleration, or legal determination. The controls below constitute enhanced monitoring, meaning the additional evidence and review applied under specific conditions (distinct from routine monitoring).</w:t>
      </w:r>
    </w:p>
    <w:p>
      <w:r>
        <w:rPr>
          <w:b/>
        </w:rPr>
        <w:t xml:space="preserve">Required response — due ten business days after receipt. </w:t>
      </w:r>
      <w:r>
        <w:t>Within that period, you must provide the following to the agency contact route stated below:</w:t>
      </w:r>
    </w:p>
    <w:p>
      <w:pPr>
        <w:ind w:left="259" w:hanging="259"/>
      </w:pPr>
      <w:r>
        <w:rPr>
          <w:b/>
        </w:rPr>
        <w:t xml:space="preserve">1. Accounting and Supporting-Records Package (funds already drawn). </w:t>
      </w:r>
      <w:r>
        <w:t>Submit an accounting of the approximately $140,000 drawn, including expenditures, dates, vendors/payees, and supporting records for allowability.</w:t>
      </w:r>
    </w:p>
    <w:p>
      <w:pPr>
        <w:ind w:left="259" w:hanging="259"/>
      </w:pPr>
      <w:r>
        <w:rPr>
          <w:b/>
        </w:rPr>
        <w:t xml:space="preserve">2. Remaining-Work and Schedule/Status Report. </w:t>
      </w:r>
      <w:r>
        <w:t>Submit the current percentage/status of the culvert activity, work remaining, current schedule, and any barriers to completion.</w:t>
      </w:r>
    </w:p>
    <w:p>
      <w:pPr>
        <w:ind w:left="259" w:hanging="259"/>
      </w:pPr>
      <w:r>
        <w:rPr>
          <w:b/>
        </w:rPr>
        <w:t xml:space="preserve">3. Material Change Notice. </w:t>
      </w:r>
      <w:r>
        <w:t>Identify any material change affecting performance, access to records, or your ability to complete the work.</w:t>
      </w:r>
    </w:p>
    <w:p>
      <w:pPr>
        <w:ind w:left="259" w:hanging="259"/>
      </w:pPr>
      <w:r>
        <w:rPr>
          <w:b/>
        </w:rPr>
        <w:t xml:space="preserve">4. Future Draw/Reimbursement Support. </w:t>
      </w:r>
      <w:r>
        <w:t>Include costs incurred and source records with each future draw or reimbursement request.</w:t>
      </w:r>
    </w:p>
    <w:p>
      <w:pPr>
        <w:ind w:left="259" w:hanging="259"/>
      </w:pPr>
      <w:r>
        <w:rPr>
          <w:b/>
        </w:rPr>
        <w:t xml:space="preserve">5. Completion/Closeout Evidence. </w:t>
      </w:r>
      <w:r>
        <w:t>When the culvert work is complete and before final closeout review, provide completion documentation and final supporting records.</w:t>
      </w:r>
    </w:p>
    <w:p>
      <w:r>
        <w:t>The agency may recommend a check-in or site/status update; that recommendation is discretionary and is not an additional mandatory condition unless separately designated in writing.</w:t>
      </w:r>
    </w:p>
    <w:p>
      <w:r>
        <w:t>If evidence is missing or late, the agency will first record it as Pending Evidence or Incomplete Evidence; absence of a submission alone is not a finding of noncompliance. After reviewing the available record, the agency may request clarification or missing evidence, document a substantiated issue, and refer any proposed adverse award action through its authorized process. This notice does not authorize automatic termination or acceleration.</w:t>
      </w:r>
    </w:p>
    <w:p>
      <w:r>
        <w:t>The agency may review allowable, supported costs, including properly completed work, as documentation is received. This statement does not guarantee reimbursement, continued funding, a waiver, or payment timing.</w:t>
      </w:r>
    </w:p>
    <w:p>
      <w:r>
        <w:t>This notice does not determine bankruptcy-law rights, including whether any stay applies or its effect. Those questions are outside this compliance notice and must be referred to county counsel Magdalena Ruiz-Hale.</w:t>
      </w:r>
    </w:p>
    <w:p>
      <w:r>
        <w:t>Sincerely,</w:t>
        <w:br/>
        <w:br/>
        <w:t>Elias Whitcombe</w:t>
        <w:br/>
        <w:t>Deputy Director</w:t>
        <w:br/>
        <w:t>Vellumstone School District Emergency Management Office</w:t>
      </w:r>
    </w:p>
    <w:p>
      <w:r>
        <w:t>Please submit your response and evidence to the Emergency Management Office, Vellumstone School District — use the subaward contact channel in your award correspondence.</w:t>
      </w:r>
    </w:p>
    <w:sectPr w:rsidR="00FC693F" w:rsidRPr="0006063C" w:rsidSect="00034616"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