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7324D"/>
          <w:sz w:val="32"/>
        </w:rPr>
        <w:t>Commercial Warranty Decision</w:t>
      </w:r>
    </w:p>
    <w:p>
      <w:pPr>
        <w:spacing w:after="100"/>
      </w:pPr>
      <w:r>
        <w:rPr>
          <w:color w:val="59636E"/>
          <w:sz w:val="18"/>
        </w:rPr>
        <w:t>14 June 2027</w:t>
      </w:r>
    </w:p>
    <w:p>
      <w:pPr>
        <w:spacing w:after="100"/>
      </w:pPr>
      <w:r>
        <w:rPr>
          <w:b/>
        </w:rPr>
        <w:t xml:space="preserve">To: </w:t>
      </w:r>
      <w:r>
        <w:t>Noor Gasparyan</w:t>
      </w:r>
    </w:p>
    <w:tbl>
      <w:tblPr>
        <w:tblW w:type="auto" w:w="0"/>
        <w:jc w:val="left"/>
        <w:tblLayout w:type="fixed"/>
        <w:tblLook w:firstColumn="1" w:firstRow="1" w:lastColumn="0" w:lastRow="0" w:noHBand="0" w:noVBand="1" w:val="04A0"/>
      </w:tblPr>
      <w:tblGrid>
        <w:gridCol w:w="3096"/>
        <w:gridCol w:w="6696"/>
      </w:tblGrid>
      <w:tr>
        <w:tc>
          <w:tcPr>
            <w:tcW w:type="dxa" w:w="3096"/>
            <w:vAlign w:val="center"/>
            <w:tcMar>
              <w:top w:w="70" w:type="dxa"/>
              <w:start w:w="90" w:type="dxa"/>
              <w:bottom w:w="70" w:type="dxa"/>
              <w:end w:w="90" w:type="dxa"/>
            </w:tcMar>
            <w:shd w:fill="EAF1F5"/>
          </w:tcPr>
          <w:p>
            <w:pPr>
              <w:spacing w:after="0"/>
            </w:pPr>
            <w:r>
              <w:rPr>
                <w:rFonts w:ascii="Aptos" w:hAnsi="Aptos"/>
                <w:b/>
                <w:sz w:val="17"/>
              </w:rPr>
              <w:t>Case reference</w:t>
            </w:r>
          </w:p>
        </w:tc>
        <w:tc>
          <w:tcPr>
            <w:tcW w:type="dxa" w:w="6696"/>
            <w:vAlign w:val="center"/>
            <w:tcMar>
              <w:top w:w="70" w:type="dxa"/>
              <w:start w:w="90" w:type="dxa"/>
              <w:bottom w:w="70" w:type="dxa"/>
              <w:end w:w="90" w:type="dxa"/>
            </w:tcMar>
          </w:tcPr>
          <w:p>
            <w:pPr>
              <w:spacing w:after="0"/>
            </w:pPr>
            <w:r>
              <w:rPr>
                <w:rFonts w:ascii="Aptos" w:hAnsi="Aptos"/>
                <w:sz w:val="17"/>
              </w:rPr>
              <w:t>FF-WAR-2027-0418</w:t>
            </w:r>
          </w:p>
        </w:tc>
      </w:tr>
      <w:tr>
        <w:tc>
          <w:tcPr>
            <w:tcW w:type="dxa" w:w="3096"/>
            <w:vAlign w:val="center"/>
            <w:tcMar>
              <w:top w:w="70" w:type="dxa"/>
              <w:start w:w="90" w:type="dxa"/>
              <w:bottom w:w="70" w:type="dxa"/>
              <w:end w:w="90" w:type="dxa"/>
            </w:tcMar>
            <w:shd w:fill="EAF1F5"/>
          </w:tcPr>
          <w:p>
            <w:pPr>
              <w:spacing w:after="0"/>
            </w:pPr>
            <w:r>
              <w:rPr>
                <w:rFonts w:ascii="Aptos" w:hAnsi="Aptos"/>
                <w:b/>
                <w:sz w:val="17"/>
              </w:rPr>
              <w:t>Customer account</w:t>
            </w:r>
          </w:p>
        </w:tc>
        <w:tc>
          <w:tcPr>
            <w:tcW w:type="dxa" w:w="6696"/>
            <w:vAlign w:val="center"/>
            <w:tcMar>
              <w:top w:w="70" w:type="dxa"/>
              <w:start w:w="90" w:type="dxa"/>
              <w:bottom w:w="70" w:type="dxa"/>
              <w:end w:w="90" w:type="dxa"/>
            </w:tcMar>
          </w:tcPr>
          <w:p>
            <w:pPr>
              <w:spacing w:after="0"/>
            </w:pPr>
            <w:r>
              <w:rPr>
                <w:rFonts w:ascii="Aptos" w:hAnsi="Aptos"/>
                <w:sz w:val="17"/>
              </w:rPr>
              <w:t>GC-88412</w:t>
            </w:r>
          </w:p>
        </w:tc>
      </w:tr>
      <w:tr>
        <w:tc>
          <w:tcPr>
            <w:tcW w:type="dxa" w:w="3096"/>
            <w:vAlign w:val="center"/>
            <w:tcMar>
              <w:top w:w="70" w:type="dxa"/>
              <w:start w:w="90" w:type="dxa"/>
              <w:bottom w:w="70" w:type="dxa"/>
              <w:end w:w="90" w:type="dxa"/>
            </w:tcMar>
            <w:shd w:fill="EAF1F5"/>
          </w:tcPr>
          <w:p>
            <w:pPr>
              <w:spacing w:after="0"/>
            </w:pPr>
            <w:r>
              <w:rPr>
                <w:rFonts w:ascii="Aptos" w:hAnsi="Aptos"/>
                <w:b/>
                <w:sz w:val="17"/>
              </w:rPr>
              <w:t>Customer name</w:t>
            </w:r>
          </w:p>
        </w:tc>
        <w:tc>
          <w:tcPr>
            <w:tcW w:type="dxa" w:w="6696"/>
            <w:vAlign w:val="center"/>
            <w:tcMar>
              <w:top w:w="70" w:type="dxa"/>
              <w:start w:w="90" w:type="dxa"/>
              <w:bottom w:w="70" w:type="dxa"/>
              <w:end w:w="90" w:type="dxa"/>
            </w:tcMar>
          </w:tcPr>
          <w:p>
            <w:pPr>
              <w:spacing w:after="0"/>
            </w:pPr>
            <w:r>
              <w:rPr>
                <w:rFonts w:ascii="Aptos" w:hAnsi="Aptos"/>
                <w:sz w:val="17"/>
              </w:rPr>
              <w:t>Granthill Collective Ltd</w:t>
            </w:r>
          </w:p>
        </w:tc>
      </w:tr>
      <w:tr>
        <w:tc>
          <w:tcPr>
            <w:tcW w:type="dxa" w:w="3096"/>
            <w:vAlign w:val="center"/>
            <w:tcMar>
              <w:top w:w="70" w:type="dxa"/>
              <w:start w:w="90" w:type="dxa"/>
              <w:bottom w:w="70" w:type="dxa"/>
              <w:end w:w="90" w:type="dxa"/>
            </w:tcMar>
            <w:shd w:fill="EAF1F5"/>
          </w:tcPr>
          <w:p>
            <w:pPr>
              <w:spacing w:after="0"/>
            </w:pPr>
            <w:r>
              <w:rPr>
                <w:rFonts w:ascii="Aptos" w:hAnsi="Aptos"/>
                <w:b/>
                <w:sz w:val="17"/>
              </w:rPr>
              <w:t>Customer contact</w:t>
            </w:r>
          </w:p>
        </w:tc>
        <w:tc>
          <w:tcPr>
            <w:tcW w:type="dxa" w:w="6696"/>
            <w:vAlign w:val="center"/>
            <w:tcMar>
              <w:top w:w="70" w:type="dxa"/>
              <w:start w:w="90" w:type="dxa"/>
              <w:bottom w:w="70" w:type="dxa"/>
              <w:end w:w="90" w:type="dxa"/>
            </w:tcMar>
          </w:tcPr>
          <w:p>
            <w:pPr>
              <w:spacing w:after="0"/>
            </w:pPr>
            <w:r>
              <w:rPr>
                <w:rFonts w:ascii="Aptos" w:hAnsi="Aptos"/>
                <w:sz w:val="17"/>
              </w:rPr>
              <w:t>Noor Gasparyan</w:t>
            </w:r>
          </w:p>
        </w:tc>
      </w:tr>
      <w:tr>
        <w:tc>
          <w:tcPr>
            <w:tcW w:type="dxa" w:w="3096"/>
            <w:vAlign w:val="center"/>
            <w:tcMar>
              <w:top w:w="70" w:type="dxa"/>
              <w:start w:w="90" w:type="dxa"/>
              <w:bottom w:w="70" w:type="dxa"/>
              <w:end w:w="90" w:type="dxa"/>
            </w:tcMar>
            <w:shd w:fill="EAF1F5"/>
          </w:tcPr>
          <w:p>
            <w:pPr>
              <w:spacing w:after="0"/>
            </w:pPr>
            <w:r>
              <w:rPr>
                <w:rFonts w:ascii="Aptos" w:hAnsi="Aptos"/>
                <w:b/>
                <w:sz w:val="17"/>
              </w:rPr>
              <w:t>Invoice reference</w:t>
            </w:r>
          </w:p>
        </w:tc>
        <w:tc>
          <w:tcPr>
            <w:tcW w:type="dxa" w:w="6696"/>
            <w:vAlign w:val="center"/>
            <w:tcMar>
              <w:top w:w="70" w:type="dxa"/>
              <w:start w:w="90" w:type="dxa"/>
              <w:bottom w:w="70" w:type="dxa"/>
              <w:end w:w="90" w:type="dxa"/>
            </w:tcMar>
          </w:tcPr>
          <w:p>
            <w:pPr>
              <w:spacing w:after="0"/>
            </w:pPr>
            <w:r>
              <w:rPr>
                <w:rFonts w:ascii="Aptos" w:hAnsi="Aptos"/>
                <w:sz w:val="17"/>
              </w:rPr>
              <w:t>INV-2027-66291</w:t>
            </w:r>
          </w:p>
        </w:tc>
      </w:tr>
      <w:tr>
        <w:tc>
          <w:tcPr>
            <w:tcW w:type="dxa" w:w="3096"/>
            <w:vAlign w:val="center"/>
            <w:tcMar>
              <w:top w:w="70" w:type="dxa"/>
              <w:start w:w="90" w:type="dxa"/>
              <w:bottom w:w="70" w:type="dxa"/>
              <w:end w:w="90" w:type="dxa"/>
            </w:tcMar>
            <w:shd w:fill="EAF1F5"/>
          </w:tcPr>
          <w:p>
            <w:pPr>
              <w:spacing w:after="0"/>
            </w:pPr>
            <w:r>
              <w:rPr>
                <w:rFonts w:ascii="Aptos" w:hAnsi="Aptos"/>
                <w:b/>
                <w:sz w:val="17"/>
              </w:rPr>
              <w:t>Shipment reference</w:t>
            </w:r>
          </w:p>
        </w:tc>
        <w:tc>
          <w:tcPr>
            <w:tcW w:type="dxa" w:w="6696"/>
            <w:vAlign w:val="center"/>
            <w:tcMar>
              <w:top w:w="70" w:type="dxa"/>
              <w:start w:w="90" w:type="dxa"/>
              <w:bottom w:w="70" w:type="dxa"/>
              <w:end w:w="90" w:type="dxa"/>
            </w:tcMar>
          </w:tcPr>
          <w:p>
            <w:pPr>
              <w:spacing w:after="0"/>
            </w:pPr>
            <w:r>
              <w:rPr>
                <w:rFonts w:ascii="Aptos" w:hAnsi="Aptos"/>
                <w:sz w:val="17"/>
              </w:rPr>
              <w:t>SH-NE-27418</w:t>
            </w:r>
          </w:p>
        </w:tc>
      </w:tr>
      <w:tr>
        <w:tc>
          <w:tcPr>
            <w:tcW w:type="dxa" w:w="3096"/>
            <w:vAlign w:val="center"/>
            <w:tcMar>
              <w:top w:w="70" w:type="dxa"/>
              <w:start w:w="90" w:type="dxa"/>
              <w:bottom w:w="70" w:type="dxa"/>
              <w:end w:w="90" w:type="dxa"/>
            </w:tcMar>
            <w:shd w:fill="EAF1F5"/>
          </w:tcPr>
          <w:p>
            <w:pPr>
              <w:spacing w:after="0"/>
            </w:pPr>
            <w:r>
              <w:rPr>
                <w:rFonts w:ascii="Aptos" w:hAnsi="Aptos"/>
                <w:b/>
                <w:sz w:val="17"/>
              </w:rPr>
              <w:t>External determination reference</w:t>
            </w:r>
          </w:p>
        </w:tc>
        <w:tc>
          <w:tcPr>
            <w:tcW w:type="dxa" w:w="6696"/>
            <w:vAlign w:val="center"/>
            <w:tcMar>
              <w:top w:w="70" w:type="dxa"/>
              <w:start w:w="90" w:type="dxa"/>
              <w:bottom w:w="70" w:type="dxa"/>
              <w:end w:w="90" w:type="dxa"/>
            </w:tcMar>
          </w:tcPr>
          <w:p>
            <w:pPr>
              <w:spacing w:after="0"/>
            </w:pPr>
            <w:r>
              <w:rPr>
                <w:rFonts w:ascii="Aptos" w:hAnsi="Aptos"/>
                <w:sz w:val="17"/>
              </w:rPr>
            </w:r>
          </w:p>
        </w:tc>
      </w:tr>
    </w:tbl>
    <w:p/>
    <w:p>
      <w:pPr>
        <w:pStyle w:val="Heading1"/>
      </w:pPr>
      <w:r>
        <w:t>Decision</w:t>
      </w:r>
    </w:p>
    <w:p>
      <w:r>
        <w:t>Subject to Mariam Grimaldi's approval, we recommend a cash reimbursement of £2,765.95 for Granthill Collective Ltd. The amount is a contractual commercial-warranty decision based on the case record and the England and Wales guidance snapshot held for this case as at 14 June 2027. Cash is recommended because it matches the settlement preference you recorded and provides usable value sooner than account credit.</w:t>
      </w:r>
    </w:p>
    <w:p>
      <w:pPr>
        <w:pStyle w:val="Heading1"/>
      </w:pPr>
      <w:r>
        <w:t>How we calculated it</w:t>
      </w:r>
    </w:p>
    <w:p>
      <w:r>
        <w:t>We corrected the earlier calculation by checking the shipment at individual-unit level rather than treating shipment packs as individual units. The reviewed accepted quantities are 204 units on GT-9821-A, 252 units on GT-9821-B, and 72 units on GT-9821-C. At the invoice prices, the covered product amount is £3,004.20. We also include £186.75 for the approved chilled return collection, giving £3,190.95 before the £425.00 credit already issued. The recommended net amount is £2,765.95.</w:t>
      </w:r>
    </w:p>
    <w:p>
      <w:pPr>
        <w:pStyle w:val="Heading1"/>
      </w:pPr>
      <w:r>
        <w:t>Exceptions</w:t>
      </w:r>
    </w:p>
    <w:p>
      <w:r>
        <w:t>The line notes changed the earlier quantities: four units on GT-9821-A did not meet the recorded product-loss basis; the final 252 units on GT-9821-B replace the interim 240-unit figure; and eight units were withdrawn from GT-9821-C. The requested £94.50 internal handling and disposal charge is not covered because it is an internal cost. The chilled return collection is included because written approval was recorded for that cost in this case.</w:t>
      </w:r>
    </w:p>
    <w:p>
      <w:pPr>
        <w:pStyle w:val="Heading1"/>
      </w:pPr>
      <w:r>
        <w:t>Next action</w:t>
      </w:r>
    </w:p>
    <w:p>
      <w:r>
        <w:t>Mariam Grimaldi will decide this recommendation by Friday, 18 June 2027, 4:00 pm. If approved, Ilse Hargrove will send this response to you and send the cash settlement instruction to Ewan Ingram by Friday, 18 June 2027, 5:00 pm. After that approval and instruction, cash reimbursement is projected to complete by Wednesday, 23 June 2027.</w:t>
      </w:r>
    </w:p>
    <w:p>
      <w:r>
        <w:t>Kind regards,</w:t>
        <w:br/>
        <w:t>Fallowbrook Fisheries Claims Team</w:t>
      </w:r>
    </w:p>
    <w:sectPr w:rsidR="00FC693F" w:rsidRPr="0006063C" w:rsidSect="00034616">
      <w:headerReference w:type="default" r:id="rId9"/>
      <w:footerReference w:type="default" r:id="rId10"/>
      <w:pgSz w:w="12240" w:h="15840"/>
      <w:pgMar w:top="720" w:right="893" w:bottom="720" w:left="893"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36E"/>
        <w:sz w:val="16"/>
      </w:rPr>
      <w:t>Commercial warranty case response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2F6F6D"/>
        <w:sz w:val="16"/>
      </w:rPr>
      <w:t>FALLOWBROOK FISHERIES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ascii="Aptos Display" w:hAnsi="Aptos Display" w:eastAsia="Aptos Display"/>
      <w:b/>
      <w:bCs/>
      <w:color w:val="17324D"/>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Granthill Collective Commercial Warranty Decision</dc:title>
  <dc:subject/>
  <dc:creator>Fallowbrook Fisheries</dc:creator>
  <cp:keywords/>
  <dc:description>generated by python-docx</dc:description>
  <cp:lastModifiedBy/>
  <cp:revision>1</cp:revision>
  <dcterms:created xsi:type="dcterms:W3CDTF">2013-12-23T23:15:00Z</dcterms:created>
  <dcterms:modified xsi:type="dcterms:W3CDTF">2013-12-23T23:15:00Z</dcterms:modified>
  <cp:category/>
</cp:coreProperties>
</file>