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Sunderly Press | Bellwold Works renewal</w:t>
        <w:br/>
        <w:t>Negotiation position paper</w:t>
      </w:r>
    </w:p>
    <w:p>
      <w:r>
        <w:rPr>
          <w:i/>
        </w:rPr>
        <w:t>Internal working paper • 25 August 2026 • Prepared by Maude Desrosiers</w:t>
      </w:r>
    </w:p>
    <w:p>
      <w:pPr>
        <w:pStyle w:val="Heading1"/>
      </w:pPr>
      <w:r>
        <w:t>1. Decision frame</w:t>
      </w:r>
    </w:p>
    <w:p>
      <w:r>
        <w:t>Priya Mortensen is authorized to negotiate a renewal with Ridgeway Clinic within the staged ladder below. The objective is a dependable seven-year package at CAD 1,260,000 starting rent, 2.00% CPI with a 2.75% cap, 45% tax share, and protected transfer language. The final authority is a nine-year term, CAD 1,320,000, 2.75% CPI with a 3.00% cap and 50% tax share. Anything beyond those boundaries returns to the board. (Sources: A-03–A-06; S-01–S-03.)</w:t>
      </w:r>
    </w:p>
    <w:p>
      <w:pPr>
        <w:pStyle w:val="Heading1"/>
      </w:pPr>
      <w:r>
        <w:t>2. Record and leverage</w:t>
      </w:r>
    </w:p>
    <w:p>
      <w:r>
        <w:t>Ridgeway’s opening is an eleven-year extension, CAD 1,428,000 starting rent (19% above current), annual CPI reset each 1 July with a 0% floor and 4.00% cap, 65% tax share, consent in Ridgeway’s sole discretion with possible recapture, and any direct or indirect change of control treated as an assignment. The current lease expires 17 June 2028 and instead provides CAD 1,200,000 rent, a 2.50% fixed annual reset, 40% tax share, consent not unreasonably withheld or delayed, affiliate reorganization on notice, and no change-of-control deemed assignment. (Sources: L-01–L-07; P-01–P-07.)</w:t>
      </w:r>
    </w:p>
    <w:p>
      <w:r>
        <w:t>The site is specialized, but the dependency is bounded: OP-4471 is site-specific and would require reissuance at a new site; EA-19 separately governs the South Vey rail strip; and CAD 8,400,000 of installed presses, binding lines and materials-handling equipment is recorded at Bellwold Works. Relocation therefore has real cost and timing friction, not an absolute legal prohibition. Sixteen months remain for planning, so Ridgeway does not have unlimited leverage. (Sources: O-01–O-05; N-03; SV-03.)</w:t>
      </w:r>
    </w:p>
    <w:p>
      <w:pPr>
        <w:pStyle w:val="Heading1"/>
      </w:pPr>
      <w:r>
        <w:t>3. Concession ladder and exchanges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t>Stage</w:t>
            </w:r>
          </w:p>
        </w:tc>
        <w:tc>
          <w:tcPr>
            <w:tcW w:type="dxa" w:w="2074"/>
          </w:tcPr>
          <w:p>
            <w:r>
              <w:t>Offer / hold</w:t>
            </w:r>
          </w:p>
        </w:tc>
        <w:tc>
          <w:tcPr>
            <w:tcW w:type="dxa" w:w="2074"/>
          </w:tcPr>
          <w:p>
            <w:r>
              <w:t>Ask in exchange</w:t>
            </w:r>
          </w:p>
        </w:tc>
        <w:tc>
          <w:tcPr>
            <w:tcW w:type="dxa" w:w="2074"/>
          </w:tcPr>
          <w:p>
            <w:r>
              <w:t>Transfer posture</w:t>
            </w:r>
          </w:p>
        </w:tc>
        <w:tc>
          <w:tcPr>
            <w:tcW w:type="dxa" w:w="2074"/>
          </w:tcPr>
          <w:p>
            <w:r>
              <w:t>Stop / approval</w:t>
            </w:r>
          </w:p>
        </w:tc>
      </w:tr>
      <w:tr>
        <w:tc>
          <w:tcPr>
            <w:tcW w:type="dxa" w:w="2074"/>
          </w:tcPr>
          <w:p>
            <w:r>
              <w:t>1 • Opening</w:t>
            </w:r>
          </w:p>
        </w:tc>
        <w:tc>
          <w:tcPr>
            <w:tcW w:type="dxa" w:w="2074"/>
          </w:tcPr>
          <w:p>
            <w:r>
              <w:t>5y; $1.200m; CPI 1.50% cap 2.00%; tax 40%</w:t>
            </w:r>
          </w:p>
        </w:tc>
        <w:tc>
          <w:tcPr>
            <w:tcW w:type="dxa" w:w="2074"/>
          </w:tcPr>
          <w:p>
            <w:r>
              <w:t>Reliable renewal, timely information, no added landlord costs</w:t>
            </w:r>
          </w:p>
        </w:tc>
        <w:tc>
          <w:tcPr>
            <w:tcW w:type="dxa" w:w="2074"/>
          </w:tcPr>
          <w:p>
            <w:r>
              <w:t>Current-lease rights; no recapture</w:t>
            </w:r>
          </w:p>
        </w:tc>
        <w:tc>
          <w:tcPr>
            <w:tcW w:type="dxa" w:w="2074"/>
          </w:tcPr>
          <w:p>
            <w:r>
              <w:t>Hold all protected rights</w:t>
            </w:r>
          </w:p>
        </w:tc>
      </w:tr>
      <w:tr>
        <w:tc>
          <w:tcPr>
            <w:tcW w:type="dxa" w:w="2074"/>
          </w:tcPr>
          <w:p>
            <w:r>
              <w:t>2 • Trade</w:t>
            </w:r>
          </w:p>
        </w:tc>
        <w:tc>
          <w:tcPr>
            <w:tcW w:type="dxa" w:w="2074"/>
          </w:tcPr>
          <w:p>
            <w:r>
              <w:t>7y; $1.260m; CPI 2.00% cap 2.75%; tax 45%</w:t>
            </w:r>
          </w:p>
        </w:tc>
        <w:tc>
          <w:tcPr>
            <w:tcW w:type="dxa" w:w="2074"/>
          </w:tcPr>
          <w:p>
            <w:r>
              <w:t>Term certainty, documented rail/operating continuity</w:t>
            </w:r>
          </w:p>
        </w:tc>
        <w:tc>
          <w:tcPr>
            <w:tcW w:type="dxa" w:w="2074"/>
          </w:tcPr>
          <w:p>
            <w:r>
              <w:t>Affiliate/reorg + qualifying successor on notice; consent reasonable</w:t>
            </w:r>
          </w:p>
        </w:tc>
        <w:tc>
          <w:tcPr>
            <w:tcW w:type="dxa" w:w="2074"/>
          </w:tcPr>
          <w:p>
            <w:r>
              <w:t>Target; counsel drafts</w:t>
            </w:r>
          </w:p>
        </w:tc>
      </w:tr>
      <w:tr>
        <w:tc>
          <w:tcPr>
            <w:tcW w:type="dxa" w:w="2074"/>
          </w:tcPr>
          <w:p>
            <w:r>
              <w:t>3 • Final authority</w:t>
            </w:r>
          </w:p>
        </w:tc>
        <w:tc>
          <w:tcPr>
            <w:tcW w:type="dxa" w:w="2074"/>
          </w:tcPr>
          <w:p>
            <w:r>
              <w:t>9y; $1.320m; CPI 2.75% cap 3.00%; tax 50%</w:t>
            </w:r>
          </w:p>
        </w:tc>
        <w:tc>
          <w:tcPr>
            <w:tcW w:type="dxa" w:w="2074"/>
          </w:tcPr>
          <w:p>
            <w:r>
              <w:t>Long commitment and execution certainty</w:t>
            </w:r>
          </w:p>
        </w:tc>
        <w:tc>
          <w:tcPr>
            <w:tcW w:type="dxa" w:w="2074"/>
          </w:tcPr>
          <w:p>
            <w:r>
              <w:t>Same protections; no sole discretion, no recapture, no deemed change-of-control assignment</w:t>
            </w:r>
          </w:p>
        </w:tc>
        <w:tc>
          <w:tcPr>
            <w:tcW w:type="dxa" w:w="2074"/>
          </w:tcPr>
          <w:p>
            <w:r>
              <w:t>Board ceiling; no further movement</w:t>
            </w:r>
          </w:p>
        </w:tc>
      </w:tr>
    </w:tbl>
    <w:p>
      <w:r>
        <w:t>Exchange logic: offer term only as Ridgeway improves transfer language and protects rail/operating continuity; accept higher tax share only with rent/CPI relief; never spend assignment or change-of-control flexibility early. If Ridgeway insists on sole discretion, recapture, a deemed assignment, CPI above 3.00% cap, rent above $1.320m, tax above 50%, or term beyond nine years, pause and return to board. No concession is pre-agreed.</w:t>
      </w:r>
    </w:p>
    <w:p>
      <w:pPr>
        <w:pStyle w:val="Heading1"/>
      </w:pPr>
      <w:r>
        <w:t>4. Compliance versus acceptability</w:t>
      </w:r>
    </w:p>
    <w:p>
      <w:r>
        <w:t>The Assessment workbook separates public/administrative requirements from commercial positions. Northmere requirements concern OP-4471 continuation, 30-day material-change notice, reissuance before any move, and the 31 March environmental filing. South Vey requirements concern the EA-19 rail strip: annual notice by 31 January, crossing/drainage maintenance and a three-year log, plus a narrow qualifying-successor exception requiring assumption and certification within 20 business days. That exception does not override the Northmere premises lease or Ridgeway’s private change-of-control clause. (Sources: N-01–N-04; SV-01–SV-04.)</w:t>
      </w:r>
    </w:p>
    <w:p>
      <w:r>
        <w:t>The eleven-year rent, tax share, CPI, sole-consent and deemed-assignment terms are commercially not acceptable to Sunderly; the dossier does not call them unlawful. “Conditional” means an action, deadline, instrument distinction or approval remains open. The first cost year begins 18 June 2028; rent is prorated for 13 days to 30 June, then the 1 July reset applies. (Sources: Assessment; S-02–S-03.)</w:t>
      </w:r>
    </w:p>
    <w:p>
      <w:pPr>
        <w:pStyle w:val="Heading1"/>
      </w:pPr>
      <w:r>
        <w:t>5. Landlord-facing language (use this)</w:t>
      </w:r>
    </w:p>
    <w:p>
      <w:pPr>
        <w:pStyle w:val="IntenseQuote"/>
      </w:pPr>
      <w:r>
        <w:t>“Sunderly needs ordinary corporate flexibility for affiliate reorganizations, financing and continuity over a long renewal. We can provide advance notice, a written assumption of the lease obligations and reasonable financial-capability information. Consent should not be unreasonably withheld or delayed; a change of control should remain a notice matter, not a deemed assignment. We are not asking for a recapture right.”</w:t>
      </w:r>
    </w:p>
    <w:p>
      <w:r>
        <w:t>Do not mention, imply or speculate about a strategic transaction. The private rationale is recorded only in AC-01 and is a board-level confidentiality constraint.</w:t>
      </w:r>
    </w:p>
    <w:p>
      <w:pPr>
        <w:pStyle w:val="Heading1"/>
      </w:pPr>
      <w:r>
        <w:t>6. Authorized clause schedule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t>Clause / source</w:t>
            </w:r>
          </w:p>
        </w:tc>
        <w:tc>
          <w:tcPr>
            <w:tcW w:type="dxa" w:w="2592"/>
          </w:tcPr>
          <w:p>
            <w:r>
              <w:t>Ridgeway language</w:t>
            </w:r>
          </w:p>
        </w:tc>
        <w:tc>
          <w:tcPr>
            <w:tcW w:type="dxa" w:w="2592"/>
          </w:tcPr>
          <w:p>
            <w:r>
              <w:t>Authorized Sunderly change</w:t>
            </w:r>
          </w:p>
        </w:tc>
        <w:tc>
          <w:tcPr>
            <w:tcW w:type="dxa" w:w="2592"/>
          </w:tcPr>
          <w:p>
            <w:r>
              <w:t>Boundary / citation</w:t>
            </w:r>
          </w:p>
        </w:tc>
      </w:tr>
      <w:tr>
        <w:tc>
          <w:tcPr>
            <w:tcW w:type="dxa" w:w="2592"/>
          </w:tcPr>
          <w:p>
            <w:r>
              <w:t>Term / P-01</w:t>
            </w:r>
          </w:p>
        </w:tc>
        <w:tc>
          <w:tcPr>
            <w:tcW w:type="dxa" w:w="2592"/>
          </w:tcPr>
          <w:p>
            <w:r>
              <w:t>11-year extension</w:t>
            </w:r>
          </w:p>
        </w:tc>
        <w:tc>
          <w:tcPr>
            <w:tcW w:type="dxa" w:w="2592"/>
          </w:tcPr>
          <w:p>
            <w:r>
              <w:t>Replace with 5-year opening; may move to 7 then 9 for value</w:t>
            </w:r>
          </w:p>
        </w:tc>
        <w:tc>
          <w:tcPr>
            <w:tcW w:type="dxa" w:w="2592"/>
          </w:tcPr>
          <w:p>
            <w:r>
              <w:t>&gt;9y board; A-03–A-06</w:t>
            </w:r>
          </w:p>
        </w:tc>
      </w:tr>
      <w:tr>
        <w:tc>
          <w:tcPr>
            <w:tcW w:type="dxa" w:w="2592"/>
          </w:tcPr>
          <w:p>
            <w:r>
              <w:t>Rent / P-02</w:t>
            </w:r>
          </w:p>
        </w:tc>
        <w:tc>
          <w:tcPr>
            <w:tcW w:type="dxa" w:w="2592"/>
          </w:tcPr>
          <w:p>
            <w:r>
              <w:t xml:space="preserve"> $1,428,000 start</w:t>
            </w:r>
          </w:p>
        </w:tc>
        <w:tc>
          <w:tcPr>
            <w:tcW w:type="dxa" w:w="2592"/>
          </w:tcPr>
          <w:p>
            <w:r>
              <w:t>$1,200,000 opening; $1,260,000 target; $1,320,000 final</w:t>
            </w:r>
          </w:p>
        </w:tc>
        <w:tc>
          <w:tcPr>
            <w:tcW w:type="dxa" w:w="2592"/>
          </w:tcPr>
          <w:p>
            <w:r>
              <w:t>&gt; $1.320m board; A-03–A-06</w:t>
            </w:r>
          </w:p>
        </w:tc>
      </w:tr>
      <w:tr>
        <w:tc>
          <w:tcPr>
            <w:tcW w:type="dxa" w:w="2592"/>
          </w:tcPr>
          <w:p>
            <w:r>
              <w:t>CPI / P-03</w:t>
            </w:r>
          </w:p>
        </w:tc>
        <w:tc>
          <w:tcPr>
            <w:tcW w:type="dxa" w:w="2592"/>
          </w:tcPr>
          <w:p>
            <w:r>
              <w:t>Annual CPI, 0% floor, 4% cap</w:t>
            </w:r>
          </w:p>
        </w:tc>
        <w:tc>
          <w:tcPr>
            <w:tcW w:type="dxa" w:w="2592"/>
          </w:tcPr>
          <w:p>
            <w:r>
              <w:t>1.50% cap 2.00% opening; 2.00% cap 2.75% target; 2.75% cap 3% final</w:t>
            </w:r>
          </w:p>
        </w:tc>
        <w:tc>
          <w:tcPr>
            <w:tcW w:type="dxa" w:w="2592"/>
          </w:tcPr>
          <w:p>
            <w:r>
              <w:t>Reset 1 July; above 3% board</w:t>
            </w:r>
          </w:p>
        </w:tc>
      </w:tr>
      <w:tr>
        <w:tc>
          <w:tcPr>
            <w:tcW w:type="dxa" w:w="2592"/>
          </w:tcPr>
          <w:p>
            <w:r>
              <w:t>Taxes / P-04</w:t>
            </w:r>
          </w:p>
        </w:tc>
        <w:tc>
          <w:tcPr>
            <w:tcW w:type="dxa" w:w="2592"/>
          </w:tcPr>
          <w:p>
            <w:r>
              <w:t>65% tenant share</w:t>
            </w:r>
          </w:p>
        </w:tc>
        <w:tc>
          <w:tcPr>
            <w:tcW w:type="dxa" w:w="2592"/>
          </w:tcPr>
          <w:p>
            <w:r>
              <w:t>40% opening; 45% target; 50% final only for value</w:t>
            </w:r>
          </w:p>
        </w:tc>
        <w:tc>
          <w:tcPr>
            <w:tcW w:type="dxa" w:w="2592"/>
          </w:tcPr>
          <w:p>
            <w:r>
              <w:t>&gt;50% board; S-01</w:t>
            </w:r>
          </w:p>
        </w:tc>
      </w:tr>
      <w:tr>
        <w:tc>
          <w:tcPr>
            <w:tcW w:type="dxa" w:w="2592"/>
          </w:tcPr>
          <w:p>
            <w:r>
              <w:t>Assignment / P-05</w:t>
            </w:r>
          </w:p>
        </w:tc>
        <w:tc>
          <w:tcPr>
            <w:tcW w:type="dxa" w:w="2592"/>
          </w:tcPr>
          <w:p>
            <w:r>
              <w:t>Sole discretion; recapture</w:t>
            </w:r>
          </w:p>
        </w:tc>
        <w:tc>
          <w:tcPr>
            <w:tcW w:type="dxa" w:w="2592"/>
          </w:tcPr>
          <w:p>
            <w:r>
              <w:t>Reasonable consent; affiliates/reorg and qualifying successor on notice; no recapture</w:t>
            </w:r>
          </w:p>
        </w:tc>
        <w:tc>
          <w:tcPr>
            <w:tcW w:type="dxa" w:w="2592"/>
          </w:tcPr>
          <w:p>
            <w:r>
              <w:t>Assumption + financial capability; AM-04</w:t>
            </w:r>
          </w:p>
        </w:tc>
      </w:tr>
      <w:tr>
        <w:tc>
          <w:tcPr>
            <w:tcW w:type="dxa" w:w="2592"/>
          </w:tcPr>
          <w:p>
            <w:r>
              <w:t>Change of control / P-06</w:t>
            </w:r>
          </w:p>
        </w:tc>
        <w:tc>
          <w:tcPr>
            <w:tcW w:type="dxa" w:w="2592"/>
          </w:tcPr>
          <w:p>
            <w:r>
              <w:t>Any direct/indirect change deemed assignment</w:t>
            </w:r>
          </w:p>
        </w:tc>
        <w:tc>
          <w:tcPr>
            <w:tcW w:type="dxa" w:w="2592"/>
          </w:tcPr>
          <w:p>
            <w:r>
              <w:t>Delete deemed-assignment treatment; notice within 30 days and obligations continue</w:t>
            </w:r>
          </w:p>
        </w:tc>
        <w:tc>
          <w:tcPr>
            <w:tcW w:type="dxa" w:w="2592"/>
          </w:tcPr>
          <w:p>
            <w:r>
              <w:t>No transaction disclosure; L-06, A-01–A-02</w:t>
            </w:r>
          </w:p>
        </w:tc>
      </w:tr>
      <w:tr>
        <w:tc>
          <w:tcPr>
            <w:tcW w:type="dxa" w:w="2592"/>
          </w:tcPr>
          <w:p>
            <w:r>
              <w:t>Rail / L-08, SV-03</w:t>
            </w:r>
          </w:p>
        </w:tc>
        <w:tc>
          <w:tcPr>
            <w:tcW w:type="dxa" w:w="2592"/>
          </w:tcPr>
          <w:p>
            <w:r>
              <w:t>Lease and rail access treated together</w:t>
            </w:r>
          </w:p>
        </w:tc>
        <w:tc>
          <w:tcPr>
            <w:tcW w:type="dxa" w:w="2592"/>
          </w:tcPr>
          <w:p>
            <w:r>
              <w:t>Keep EA-19 separate; preserve access and successor certification path</w:t>
            </w:r>
          </w:p>
        </w:tc>
        <w:tc>
          <w:tcPr>
            <w:tcW w:type="dxa" w:w="2592"/>
          </w:tcPr>
          <w:p>
            <w:r>
              <w:t>20 business days; rail-only exception</w:t>
            </w:r>
          </w:p>
        </w:tc>
      </w:tr>
    </w:tbl>
    <w:p>
      <w:r>
        <w:t>Source key: L = current lease; P = proposal; O = operations; N = Northmere; SV = South Vey; A = authority/confidentiality; S = scenarios. See Source Index in Sunderly_Compliance_Assessment.xlsx for dossier locators.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Sunderly Press internal negotiation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