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 MEMORANDUM</w:t>
      </w:r>
    </w:p>
    <w:p>
      <w:pPr>
        <w:spacing w:after="80"/>
      </w:pPr>
      <w:r>
        <w:rPr>
          <w:i/>
          <w:color w:val="595959"/>
          <w:sz w:val="16"/>
        </w:rPr>
        <w:t>To: Beatriz Coutinho  |  From: Ilse Fitzgerald, Senior Buyer  |  16-Mar-2026</w:t>
      </w:r>
    </w:p>
    <w:p>
      <w:pPr>
        <w:spacing w:after="40"/>
      </w:pPr>
      <w:r>
        <w:t>Subject: MC-SCAR-26-041 - Yewbank Instruments weld-spatter release package</w:t>
      </w:r>
    </w:p>
    <w:p>
      <w:pPr>
        <w:pStyle w:val="Heading2"/>
      </w:pPr>
      <w:r>
        <w:t>Material recurrence</w:t>
      </w:r>
    </w:p>
    <w:p>
      <w:pPr>
        <w:spacing w:after="40"/>
      </w:pPr>
      <w:r>
        <w:t>The controlled incident record moves from 11 nonconforming pieces of 1240 received/inspected (0.9%; 2 of 18 lots) in 01-Oct-2025 to 31-Dec-2025 to 47 of 1060 (4.4%; 5 of 14 lots) in 01-Jan-2026 to 29-Feb-2026. The count is 36 higher while population is -180; the rate is 5.0 times the earlier rate. This is a material worsening in recurrence and lot incidence, but it does not prove a process or operator cause.</w:t>
      </w:r>
    </w:p>
    <w:p>
      <w:pPr>
        <w:pStyle w:val="Heading2"/>
      </w:pPr>
      <w:r>
        <w:t>Release repairs and commercial judgment</w:t>
      </w:r>
    </w:p>
    <w:p>
      <w:pPr>
        <w:spacing w:after="40"/>
      </w:pPr>
      <w:r>
        <w:t>The marked-up copy visibly removes the draft’s assertion that poor torch angle and cleaning caused the condition. The released SCAR instead records the observed raised residue at the mounting interface face/locating bore and requires Yewbank to distinguish occurrence cause from escape/detection cause with supporting evidence. That preserves the actual requirement in DWG 74-1182 Rev D, Note 6.</w:t>
      </w:r>
    </w:p>
    <w:p>
      <w:pPr>
        <w:spacing w:after="40"/>
      </w:pPr>
      <w:r>
        <w:t>The draft’s 100% sort “at supplier cost” is not supported by Purchasing Terms §12.4: it requires cooperation and accepted corrective action, but grants no unilateral sorting charge or automatic chargeback. I chose one treatment throughout the package: require controlled 100% inspection of suspect and future lots, lot-specific evidence, certification, segregation and documented disposition, while expressly reserving cost allocation for separate authorized commercial review. This protects product flow without inventing liability. The expired 07-Mar-2026 containment date is replaced by 17-Mar-2026, one business day after issue; acknowledgement and full response are 18-Mar-2026 and 30-Mar-2026 under SQR-3. Finally, the “accepted for years” line is removed. Prior detection records are retained only as recurrence evidence and expressly do not waive, deviate from, or alter the drawing.</w:t>
      </w:r>
    </w:p>
    <w:p>
      <w:pPr>
        <w:pStyle w:val="Heading2"/>
      </w:pPr>
      <w:r>
        <w:t>Administration controls</w:t>
      </w:r>
    </w:p>
    <w:p>
      <w:pPr>
        <w:spacing w:after="40"/>
      </w:pPr>
      <w:r>
        <w:t>The revised template separates requirement, objective evidence and factual problem; records containment, suspect scope/disposition, occurrence and escape analysis, cause-linked actions, implementation evidence, and measurable effectiveness review. It prevents a supplier completion box from closing a SCAR: named Marchbank review and evidence are required before Closed by Marchbank.</w:t>
      </w:r>
    </w:p>
    <w:p>
      <w:pPr>
        <w:spacing w:after="40"/>
      </w:pPr>
      <w:r>
        <w:t>During the transition, each milestone records channel and audit reference: email plus CMQ-Log through 30-Apr-2026, then SAPortal as system of record from 01-May-2026. Open cases retain CMQ-Log references through migration and reconciliation. For access failure, missing response/evidence, overdue action, or unavailable verification, the template requires Open - Blocked, an escalation owner, QF-17/email interim record, and reconciliation within two business days after access restoration. It preserves control instead of creating a silent stall or unsupported closure.</w:t>
      </w:r>
    </w:p>
    <w:p>
      <w:pPr>
        <w:spacing w:after="40"/>
      </w:pPr>
      <w:r>
        <w:t>Release decision: release the corrected SCAR MC-SCAR-26-041 to Yewbank Instruments on 16-Mar-2026 with containment required by 17-Mar-2026, cost allocation expressly reserved pending authorized commercial review, and evidence-based Marchbank closure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Controlled document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4"/>
      </w:rPr>
      <w:t>MARCHBANK CONSORTIUM  |  SUPPLIER QUALITY &amp; PURCHASING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