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Oregon and British Columbia public briefing snapshot</w:t>
      </w:r>
    </w:p>
    <w:p>
      <w:r>
        <w:rPr>
          <w:b/>
          <w:color w:val="1F3A4D"/>
        </w:rPr>
        <w:t xml:space="preserve">Frozen date: </w:t>
      </w:r>
      <w:r>
        <w:t>18 September 2025</w:t>
      </w:r>
      <w:r>
        <w:t xml:space="preserve">  |  Source set: internal generic public-briefing practice extracts</w:t>
      </w:r>
    </w:p>
    <w:p>
      <w:r>
        <w:rPr>
          <w:b/>
        </w:rPr>
        <w:t xml:space="preserve">Purpose. </w:t>
      </w:r>
      <w:r>
        <w:t>This fixed comparison reference is for the Saltmarsh short public briefing. It is a frozen snapshot, not a live website check.</w:t>
      </w:r>
    </w:p>
    <w:p>
      <w:pPr>
        <w:pStyle w:val="Heading1"/>
      </w:pPr>
      <w:r>
        <w:t>Oregon</w:t>
      </w:r>
    </w:p>
    <w:p>
      <w:pPr>
        <w:pStyle w:val="ListBullet"/>
      </w:pPr>
      <w:r>
        <w:t>Identify Oregon when presenting Oregon events and state whether inventory was distributed to customers or held before distribution.</w:t>
      </w:r>
    </w:p>
    <w:p>
      <w:pPr>
        <w:pStyle w:val="ListBullet"/>
      </w:pPr>
      <w:r>
        <w:t>Express quantities as consumer sales units in public copy. Do not use packs, containers, or shipments as though they are consumer sales units.</w:t>
      </w:r>
    </w:p>
    <w:p>
      <w:pPr>
        <w:pStyle w:val="ListBullet"/>
      </w:pPr>
      <w:r>
        <w:t>Inventory held before distribution may be described as held before distribution or held before dispatch. Do not place it inside a customer-impact headline.</w:t>
      </w:r>
    </w:p>
    <w:p>
      <w:pPr>
        <w:pStyle w:val="ListBullet"/>
      </w:pPr>
      <w:r>
        <w:t>Do not call an event a recall unless an authorized recall notice supports that wording. Do not state a root cause unless the incident record confirms one.</w:t>
      </w:r>
    </w:p>
    <w:p>
      <w:r>
        <w:rPr>
          <w:b/>
        </w:rPr>
        <w:t xml:space="preserve">Frozen citation: </w:t>
      </w:r>
      <w:r>
        <w:t>Oregon public-briefing practice note, archived 18 Sep 2025.</w:t>
      </w:r>
    </w:p>
    <w:p>
      <w:pPr>
        <w:pStyle w:val="Heading1"/>
      </w:pPr>
      <w:r>
        <w:t>British Columbia</w:t>
      </w:r>
    </w:p>
    <w:p>
      <w:pPr>
        <w:pStyle w:val="ListBullet"/>
      </w:pPr>
      <w:r>
        <w:t>Identify British Columbia when presenting British Columbia events and state whether units were distributed to customers or inventory was held before distribution.</w:t>
      </w:r>
    </w:p>
    <w:p>
      <w:pPr>
        <w:pStyle w:val="ListBullet"/>
      </w:pPr>
      <w:r>
        <w:t>Express quantities as consumer sales units in public copy. Keep packs, containers, and shipments as conversion inputs only.</w:t>
      </w:r>
    </w:p>
    <w:p>
      <w:pPr>
        <w:pStyle w:val="ListBullet"/>
      </w:pPr>
      <w:r>
        <w:t>Held-before-distribution inventory is not customer exposure and should be labeled separately from distributed customer units.</w:t>
      </w:r>
    </w:p>
    <w:p>
      <w:pPr>
        <w:pStyle w:val="ListBullet"/>
      </w:pPr>
      <w:r>
        <w:t>Do not call an event a recall without an issued recall notice. Do not present an unconfirmed cause as fact.</w:t>
      </w:r>
    </w:p>
    <w:p>
      <w:r>
        <w:rPr>
          <w:b/>
        </w:rPr>
        <w:t xml:space="preserve">Frozen citation: </w:t>
      </w:r>
      <w:r>
        <w:t>British Columbia public information practice extract, archived 18 Sep 2025.</w:t>
      </w:r>
    </w:p>
    <w:p>
      <w:r>
        <w:rPr>
          <w:b/>
        </w:rPr>
        <w:t xml:space="preserve">Shared framing. </w:t>
      </w:r>
      <w:r>
        <w:t>For a cross-jurisdiction comparison, place the distributed-versus-held distinction before any headline it qualifies. A public briefing may identify confirmed events, quantities, and distribution status without assigning cause, fault, legal status, or recall status not documented in the source set.</w:t>
      </w:r>
    </w:p>
    <w:p>
      <w:r>
        <w:br w:type="page"/>
      </w:r>
    </w:p>
    <w:p>
      <w:pPr>
        <w:pStyle w:val="Heading1"/>
      </w:pPr>
      <w:r>
        <w:t>Unit vocabulary - continued</w:t>
      </w:r>
    </w:p>
    <w:p>
      <w:r>
        <w:rPr>
          <w:b/>
        </w:rPr>
        <w:t xml:space="preserve">Continuation table for the same frozen snapshot. </w:t>
      </w:r>
      <w:r>
        <w:t>Use these terms consistently when translating record quantities for public copy.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3A4D"/>
          </w:tcPr>
          <w:p>
            <w:r>
              <w:rPr>
                <w:b/>
                <w:color w:val="FFFFFF"/>
                <w:sz w:val="18"/>
              </w:rPr>
              <w:t>Record term</w:t>
            </w:r>
          </w:p>
        </w:tc>
        <w:tc>
          <w:tcPr>
            <w:tcW w:type="dxa" w:w="3672"/>
            <w:shd w:fill="1F3A4D"/>
          </w:tcPr>
          <w:p>
            <w:r>
              <w:rPr>
                <w:b/>
                <w:color w:val="FFFFFF"/>
                <w:sz w:val="18"/>
              </w:rPr>
              <w:t>Public-briefing meaning</w:t>
            </w:r>
          </w:p>
        </w:tc>
        <w:tc>
          <w:tcPr>
            <w:tcW w:type="dxa" w:w="3960"/>
            <w:shd w:fill="1F3A4D"/>
          </w:tcPr>
          <w:p>
            <w:r>
              <w:rPr>
                <w:b/>
                <w:color w:val="FFFFFF"/>
                <w:sz w:val="18"/>
              </w:rPr>
              <w:t>How it is used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Consumer sales unit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One individual item in the sales unit used by a consumer.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Use this as the displayed and narrated quantity.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Pack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A grouped quantity containing the stated number of consumer sales units.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Convert packs using sales units per pack; do not label a pack count as consumer sales units.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Container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A group of consumer sales units within a shipment.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Use only as an input to a shipment conversion.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Shipment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A count of containers moved together.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Convert using containers per shipment and sales units per container; do not present shipment count as consumer sales units.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Held before distribution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Inventory retained before it reached distribution or dispatch.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Report separately from distributed customer units and outside a customer-impact headline.</w:t>
            </w:r>
          </w:p>
        </w:tc>
      </w:tr>
      <w:tr>
        <w:tc>
          <w:tcPr>
            <w:tcW w:type="dxa" w:w="1944"/>
          </w:tcPr>
          <w:p>
            <w:r>
              <w:rPr>
                <w:sz w:val="18"/>
              </w:rPr>
              <w:t>Distributed to customers</w:t>
            </w:r>
          </w:p>
        </w:tc>
        <w:tc>
          <w:tcPr>
            <w:tcW w:type="dxa" w:w="3672"/>
          </w:tcPr>
          <w:p>
            <w:r>
              <w:rPr>
                <w:sz w:val="18"/>
              </w:rPr>
              <w:t>Consumer sales units that reached distribution for customers.</w:t>
            </w:r>
          </w:p>
        </w:tc>
        <w:tc>
          <w:tcPr>
            <w:tcW w:type="dxa" w:w="3960"/>
          </w:tcPr>
          <w:p>
            <w:r>
              <w:rPr>
                <w:sz w:val="18"/>
              </w:rPr>
              <w:t>Eligible for a customer-impact event and unit headline when the event is confirmed.</w:t>
            </w:r>
          </w:p>
        </w:tc>
      </w:tr>
    </w:tbl>
    <w:p/>
    <w:p>
      <w:r>
        <w:rPr>
          <w:b/>
        </w:rPr>
        <w:t xml:space="preserve">Snapshot control. </w:t>
      </w:r>
      <w:r>
        <w:t>Do not refresh this comparison with live web research for the 26 September 2025 release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>Frozen 18 September 2025  |  Internal comparison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SALT MARSH PROVISIONS  |  FROZEN PUBLIC-BRIEFING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Oregon and British Columbia public briefing snapshot</dc:title>
  <dc:subject>Frozen reference dated 18 September 2025</dc:subject>
  <dc:creator>Saltmarsh Provisions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