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Sablewick Council Children’s Services | case materials</w:t>
      </w:r>
    </w:p>
    <w:p>
      <w:pPr>
        <w:spacing w:after="40" w:line="240" w:lineRule="auto"/>
      </w:pPr>
      <w:r>
        <w:rPr>
          <w:rFonts w:ascii="Arial" w:hAnsi="Arial"/>
          <w:b w:val="0"/>
          <w:color w:val="555555"/>
          <w:sz w:val="18"/>
        </w:rPr>
        <w:t>Evidence bundle frozen 1 September 2025. Identifiers are synthetic. Source items are reproduced for the inheriting-worker correction task.</w:t>
      </w:r>
    </w:p>
    <w:p>
      <w:pPr>
        <w:pStyle w:val="Heading1"/>
      </w:pPr>
      <w:r>
        <w:t>A. Filed report 1 | 14 June 2025 | author Adaeze Braithwaite</w:t>
      </w:r>
    </w:p>
    <w:p>
      <w:pPr>
        <w:spacing w:after="40" w:line="240" w:lineRule="auto"/>
      </w:pPr>
      <w:r>
        <w:rPr>
          <w:rFonts w:ascii="Arial" w:hAnsi="Arial"/>
          <w:b w:val="0"/>
          <w:sz w:val="18"/>
        </w:rPr>
        <w:t>R1-L12 (Home visit observations): “The mother was evasive and was clearly concealing information.”</w:t>
        <w:br/>
        <w:t>R1-L19 (Home conditions): “The home was chaotic and unsuitable for a child.”</w:t>
      </w:r>
    </w:p>
    <w:p>
      <w:pPr>
        <w:pStyle w:val="Heading1"/>
      </w:pPr>
      <w:r>
        <w:t>B. Contemporaneous notes supporting report 1</w:t>
      </w:r>
    </w:p>
    <w:p>
      <w:pPr>
        <w:spacing w:after="40" w:line="240" w:lineRule="auto"/>
      </w:pPr>
      <w:r>
        <w:rPr>
          <w:rFonts w:ascii="Arial" w:hAnsi="Arial"/>
          <w:b w:val="0"/>
          <w:sz w:val="18"/>
        </w:rPr>
        <w:t>Home-visit note, Adaeze Braithwaite, 5 June 2025, 16:10: Mother paused and looked down before answering the question about recent contact with the service. The note records no reason for the pause and no evidence about intent. Toys and folded/unfolded laundry were in the living areas; clear exits, working utilities and available food were recorded. No immediate hazard was identified.</w:t>
      </w:r>
    </w:p>
    <w:p>
      <w:pPr>
        <w:pStyle w:val="Heading1"/>
      </w:pPr>
      <w:r>
        <w:t>C. Filed report 2 | 21 June 2025 | author Adaeze Braithwaite</w:t>
      </w:r>
    </w:p>
    <w:p>
      <w:pPr>
        <w:spacing w:after="40" w:line="240" w:lineRule="auto"/>
      </w:pPr>
      <w:r>
        <w:rPr>
          <w:rFonts w:ascii="Arial" w:hAnsi="Arial"/>
          <w:b w:val="0"/>
          <w:sz w:val="18"/>
        </w:rPr>
        <w:t>R2-L08 (Presentation and care): “Her unkempt appearance demonstrated that she could not provide consistent care.”</w:t>
        <w:br/>
        <w:t>R2-L15 (Engagement): “She has repeatedly failed to engage with the service.”</w:t>
        <w:br/>
        <w:t>R2-L27 (Direct work): “The child appeared coached.”</w:t>
      </w:r>
    </w:p>
    <w:p>
      <w:pPr>
        <w:pStyle w:val="Heading1"/>
      </w:pPr>
      <w:r>
        <w:t>D. Notes and contact chronology supporting report 2</w:t>
      </w:r>
    </w:p>
    <w:p>
      <w:pPr>
        <w:spacing w:after="40" w:line="240" w:lineRule="auto"/>
      </w:pPr>
      <w:r>
        <w:rPr>
          <w:rFonts w:ascii="Arial" w:hAnsi="Arial"/>
          <w:b w:val="0"/>
          <w:sz w:val="18"/>
        </w:rPr>
        <w:t>Visit note, 12 June 2025: Mother wore creased clothing and had uncombed hair after a night shift. No care deficit was recorded as linked to appearance. Contact chronology: 3 June—call unanswered; 6 June—mother attended the arranged visit; 10 June—she replied to a text; 17 June—she replied to a further message. Direct-work note, 18 June: child repeated the phrase “Mum said it was not safe”; the question and context are recorded, but no adult influence or coaching was observed or established.</w:t>
      </w:r>
    </w:p>
    <w:p>
      <w:pPr>
        <w:pStyle w:val="Heading1"/>
      </w:pPr>
      <w:r>
        <w:t>E. Filed report 3 | 28 June 2025 | author Adaeze Braithwaite</w:t>
      </w:r>
    </w:p>
    <w:p>
      <w:pPr>
        <w:spacing w:after="40" w:line="240" w:lineRule="auto"/>
      </w:pPr>
      <w:r>
        <w:rPr>
          <w:rFonts w:ascii="Arial" w:hAnsi="Arial"/>
          <w:b w:val="0"/>
          <w:sz w:val="18"/>
        </w:rPr>
        <w:t>R3-L06 (School information): “The school confirmed neglect.”</w:t>
        <w:br/>
        <w:t>R3-L14 (Capacity): “The mother has no protective capacity.”</w:t>
        <w:br/>
        <w:t>R3-L22 (Risk): “The child is at immediate risk.”</w:t>
      </w:r>
    </w:p>
    <w:p>
      <w:pPr>
        <w:pStyle w:val="Heading1"/>
      </w:pPr>
      <w:r>
        <w:t>F. Supporting communications and assessment</w:t>
      </w:r>
    </w:p>
    <w:p>
      <w:pPr>
        <w:spacing w:after="40" w:line="240" w:lineRule="auto"/>
      </w:pPr>
      <w:r>
        <w:rPr>
          <w:rFonts w:ascii="Arial" w:hAnsi="Arial"/>
          <w:b w:val="0"/>
          <w:sz w:val="18"/>
        </w:rPr>
        <w:t>School email, 20 June 2025, Priya Nair (attendance lead): “We are concerned that the child arrived late on 11 and 18 June. Please let us know if support is needed.” No neglect finding was stated. Assessment note, 24 June: concern recorded about inconsistent routines and follow-through; the available material did not constitute a complete protective-capacity assessment. Third-party message, 23 June, source recorded as neighbour: allegation that the child was left alone after dark; no corroboration supplied. Follow-up note, 25 June: no immediate harm indicator recorded at the follow-up contact; allegation remains unverified and open for assessment.</w:t>
      </w:r>
    </w:p>
    <w:p>
      <w:pPr>
        <w:pStyle w:val="Heading1"/>
      </w:pPr>
      <w:r>
        <w:t>G. Objection, management message and timing</w:t>
      </w:r>
    </w:p>
    <w:p>
      <w:pPr>
        <w:spacing w:after="40" w:line="240" w:lineRule="auto"/>
      </w:pPr>
      <w:r>
        <w:rPr>
          <w:rFonts w:ascii="Arial" w:hAnsi="Arial"/>
          <w:b w:val="0"/>
          <w:sz w:val="18"/>
        </w:rPr>
        <w:t>Nikolai Asante, children’s guardian, objection dated 18 August 2025: asks that passages turning interpretation into fact, appearance into parenting evidence, and allegations into findings be corrected before the next hearing. Hearing listed 12 September 2025. Ivo Toledano, team manager, message to Nikolai dated 19 August: “We will replace all three reports before the hearing.”</w:t>
      </w:r>
    </w:p>
    <w:p>
      <w:pPr>
        <w:pStyle w:val="Heading1"/>
      </w:pPr>
      <w:r>
        <w:t>H. Transition notice | issued 1 July 2025</w:t>
      </w:r>
    </w:p>
    <w:p>
      <w:pPr>
        <w:spacing w:after="40" w:line="240" w:lineRule="auto"/>
      </w:pPr>
      <w:r>
        <w:rPr>
          <w:rFonts w:ascii="Arial" w:hAnsi="Arial"/>
          <w:b w:val="0"/>
          <w:sz w:val="18"/>
        </w:rPr>
        <w:t>Reports opened before 1 July 2025 may remain on the legacy form until its retirement on 30 September 2025. Any correction to a legacy report during the transition requires the bridge/amendment cover and a linked audit entry. Reports opened on or after 1 July 2025 use the revised structured categories. From 1 October 2025 the revised template is the sole form for new reports; the bridge remains only for corrections to historical records. Required evidence labels: “Observed fact”, “Reported information”, “Professional analysis”.</w:t>
      </w:r>
    </w:p>
    <w:p>
      <w:pPr>
        <w:pStyle w:val="Heading1"/>
      </w:pPr>
      <w:r>
        <w:t>I. Frozen framework extracts | England and Wales, 1 September 2025</w:t>
      </w:r>
    </w:p>
    <w:p>
      <w:pPr>
        <w:spacing w:after="40" w:line="240" w:lineRule="auto"/>
      </w:pPr>
      <w:r>
        <w:rPr>
          <w:rFonts w:ascii="Arial" w:hAnsi="Arial"/>
          <w:b w:val="0"/>
          <w:sz w:val="18"/>
        </w:rPr>
        <w:t>Social Work England professional standards require clear, accurate, timely records, distinguish fact from opinion, and make sources and uncertainty clear. UK GDPR Article 5(1)(d) requires personal data to be accurate and kept up to date; inaccuracies should be corrected or annotated proportionately. These duties do not authorise destroying, backdating or silently substituting a filed court document. Court-facing practice permits a worker to propose and submit an attributed amendment/addendum through the authorised route; the court decides whether and how it is admitted or weighed.</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1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sz w:val="1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sz w:val="1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sz w:val="1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1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sz w:val="1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1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sz w:val="18"/>
    </w:rPr>
  </w:style>
  <w:style w:type="paragraph" w:styleId="BodyText">
    <w:name w:val="Body Text"/>
    <w:basedOn w:val="Normal"/>
    <w:link w:val="BodyTextChar"/>
    <w:uiPriority w:val="99"/>
    <w:unhideWhenUsed/>
    <w:rsid w:val="00AA1D8D"/>
    <w:pPr>
      <w:spacing w:after="120"/>
    </w:pPr>
    <w:rPr>
      <w:rFonts w:ascii="Arial" w:hAnsi="Arial"/>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sz w:val="18"/>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sz w:val="18"/>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sz w:val="18"/>
    </w:rPr>
  </w:style>
  <w:style w:type="paragraph" w:styleId="List2">
    <w:name w:val="List 2"/>
    <w:basedOn w:val="Normal"/>
    <w:uiPriority w:val="99"/>
    <w:unhideWhenUsed/>
    <w:rsid w:val="00326F90"/>
    <w:pPr>
      <w:ind w:left="720" w:hanging="360"/>
      <w:contextualSpacing/>
    </w:pPr>
    <w:rPr>
      <w:rFonts w:ascii="Arial" w:hAnsi="Arial"/>
      <w:sz w:val="18"/>
    </w:rPr>
  </w:style>
  <w:style w:type="paragraph" w:styleId="List3">
    <w:name w:val="List 3"/>
    <w:basedOn w:val="Normal"/>
    <w:uiPriority w:val="99"/>
    <w:unhideWhenUsed/>
    <w:rsid w:val="00326F90"/>
    <w:pPr>
      <w:ind w:left="1080" w:hanging="360"/>
      <w:contextualSpacing/>
    </w:pPr>
    <w:rPr>
      <w:rFonts w:ascii="Arial" w:hAnsi="Arial"/>
      <w:sz w:val="18"/>
    </w:r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rPr>
      <w:rFonts w:ascii="Arial" w:hAnsi="Arial"/>
      <w:sz w:val="18"/>
    </w:r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rPr>
      <w:rFonts w:ascii="Arial" w:hAnsi="Arial"/>
      <w:sz w:val="18"/>
    </w:rPr>
  </w:style>
  <w:style w:type="paragraph" w:styleId="ListNumber3">
    <w:name w:val="List Number 3"/>
    <w:basedOn w:val="Normal"/>
    <w:uiPriority w:val="99"/>
    <w:unhideWhenUsed/>
    <w:rsid w:val="0029639D"/>
    <w:pPr>
      <w:numPr>
        <w:numId w:val="7"/>
      </w:numPr>
      <w:contextualSpacing/>
    </w:pPr>
    <w:rPr>
      <w:rFonts w:ascii="Arial" w:hAnsi="Arial"/>
      <w:sz w:val="18"/>
    </w:rPr>
  </w:style>
  <w:style w:type="paragraph" w:styleId="ListContinue">
    <w:name w:val="List Continue"/>
    <w:basedOn w:val="Normal"/>
    <w:uiPriority w:val="99"/>
    <w:unhideWhenUsed/>
    <w:rsid w:val="0029639D"/>
    <w:pPr>
      <w:spacing w:after="120"/>
      <w:ind w:left="360"/>
      <w:contextualSpacing/>
    </w:pPr>
    <w:rPr>
      <w:rFonts w:ascii="Arial" w:hAnsi="Arial"/>
      <w:sz w:val="18"/>
    </w:rPr>
  </w:style>
  <w:style w:type="paragraph" w:styleId="ListContinue2">
    <w:name w:val="List Continue 2"/>
    <w:basedOn w:val="Normal"/>
    <w:uiPriority w:val="99"/>
    <w:unhideWhenUsed/>
    <w:rsid w:val="0029639D"/>
    <w:pPr>
      <w:spacing w:after="120"/>
      <w:ind w:left="720"/>
      <w:contextualSpacing/>
    </w:pPr>
    <w:rPr>
      <w:rFonts w:ascii="Arial" w:hAnsi="Arial"/>
      <w:sz w:val="18"/>
    </w:rPr>
  </w:style>
  <w:style w:type="paragraph" w:styleId="ListContinue3">
    <w:name w:val="List Continue 3"/>
    <w:basedOn w:val="Normal"/>
    <w:uiPriority w:val="99"/>
    <w:unhideWhenUsed/>
    <w:rsid w:val="0029639D"/>
    <w:pPr>
      <w:spacing w:after="120"/>
      <w:ind w:left="1080"/>
      <w:contextualSpacing/>
    </w:pPr>
    <w:rPr>
      <w:rFonts w:ascii="Arial" w:hAnsi="Arial"/>
      <w:sz w:val="1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18"/>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themeColor="text1"/>
      <w:sz w:val="1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sz w:val="18"/>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sz w:val="1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