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HIE exchange segmentation operating plan</w:t>
      </w:r>
    </w:p>
    <w:p>
      <w:pPr>
        <w:spacing w:after="80"/>
      </w:pPr>
      <w:r>
        <w:rPr>
          <w:color w:val="465760"/>
          <w:sz w:val="17"/>
        </w:rPr>
        <w:t>Ivyhurst Studios  |  Decision requested: approve October configuration subject to gates below  |  Owner: Medical Operations Manager</w:t>
      </w:r>
    </w:p>
    <w:tbl>
      <w:tblPr>
        <w:tblW w:type="auto" w:w="0"/>
        <w:jc w:val="center"/>
        <w:tblLayout w:type="fixed"/>
        <w:tblLook w:firstColumn="1" w:firstRow="1" w:lastColumn="0" w:lastRow="0" w:noHBand="0" w:noVBand="1" w:val="04A0"/>
      </w:tblPr>
      <w:tblGrid>
        <w:gridCol w:w="1642"/>
        <w:gridCol w:w="10008"/>
      </w:tblGrid>
      <w:tr>
        <w:tc>
          <w:tcPr>
            <w:tcW w:type="dxa" w:w="1642"/>
            <w:shd w:fill="E8F0F3"/>
            <w:tcMar>
              <w:top w:w="65" w:type="dxa"/>
              <w:start w:w="95" w:type="dxa"/>
              <w:bottom w:w="65" w:type="dxa"/>
              <w:end w:w="95" w:type="dxa"/>
            </w:tcMar>
            <w:vAlign w:val="center"/>
          </w:tcPr>
          <w:p>
            <w:r>
              <w:rPr>
                <w:b/>
                <w:color w:val="16364A"/>
                <w:sz w:val="16"/>
              </w:rPr>
              <w:t>RECOMMEND</w:t>
            </w:r>
          </w:p>
        </w:tc>
        <w:tc>
          <w:tcPr>
            <w:tcW w:type="dxa" w:w="10008"/>
            <w:shd w:fill="E8F0F3"/>
            <w:tcMar>
              <w:top w:w="65" w:type="dxa"/>
              <w:start w:w="95" w:type="dxa"/>
              <w:bottom w:w="65" w:type="dxa"/>
              <w:end w:w="95" w:type="dxa"/>
            </w:tcMar>
            <w:vAlign w:val="center"/>
          </w:tcPr>
          <w:p>
            <w:r>
              <w:rPr>
                <w:b/>
                <w:sz w:val="16"/>
              </w:rPr>
              <w:t>Keep one internal chart. Use encounter-based outbound routing: eligible primary-care encounters may transmit; protected SUD encounters, mixed encounters, and unresolved encounters do not transmit routinely. Suppress outbound longitudinal medication and problem-list payloads until protected provenance can be reliably controlled.</w:t>
            </w:r>
          </w:p>
        </w:tc>
      </w:tr>
    </w:tbl>
    <w:p>
      <w:pPr>
        <w:pStyle w:val="Heading1"/>
      </w:pPr>
      <w:r>
        <w:t>1. Approval requested and decision boundaries</w:t>
      </w:r>
    </w:p>
    <w:p>
      <w:pPr/>
      <w:r>
        <w:t>Authorize the configuration and governance changes in Section 3 for an October launch only after Compliance validates applicability and disclosure rules for the SUD program records, the HIE validates the supported feed controls, and the acceptance tests in Section 6 pass. This is an operating decision, not a legal conclusion. Qualifying SUD program records may carry heightened confidentiality protections based on program status and record provenance; licensure alone, addiction-related content alone, or placement in the shared EHR does not settle that question. A shared chart does not extinguish protections that attach to protected records.</w:t>
      </w:r>
    </w:p>
    <w:p>
      <w:pPr/>
      <w:r>
        <w:t>The exchange commitment is a contractual and care-coordination objective, not independent disclosure authority. Likewise, an HIE participation agreement, notice of privacy practices, routine treatment consent, minimum-necessary review, or a technical break-glass tool does not by itself authorize disclosure of protected SUD information. Once authority exists, minimum-necessary and role controls further limit release. Recipient obligations, exchange controls, and audit trails reduce downstream risk; they cannot make improper use or redisclosure technically impossible.</w:t>
      </w:r>
    </w:p>
    <w:p>
      <w:pPr>
        <w:pStyle w:val="Heading1"/>
      </w:pPr>
      <w:r>
        <w:t>2. Recommended configuration: outbound by encounter; internal chart remains unified</w:t>
      </w:r>
    </w:p>
    <w:tbl>
      <w:tblPr>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315E78"/>
            <w:tcMar>
              <w:top w:w="55" w:type="dxa"/>
              <w:start w:w="70" w:type="dxa"/>
              <w:bottom w:w="55" w:type="dxa"/>
              <w:end w:w="70" w:type="dxa"/>
            </w:tcMar>
          </w:tcPr>
          <w:p>
            <w:r>
              <w:rPr>
                <w:b/>
                <w:color w:val="FFFFFF"/>
                <w:sz w:val="15"/>
              </w:rPr>
              <w:t>Content / condition</w:t>
            </w:r>
          </w:p>
        </w:tc>
        <w:tc>
          <w:tcPr>
            <w:tcW w:type="dxa" w:w="3384"/>
            <w:shd w:fill="315E78"/>
            <w:tcMar>
              <w:top w:w="55" w:type="dxa"/>
              <w:start w:w="70" w:type="dxa"/>
              <w:bottom w:w="55" w:type="dxa"/>
              <w:end w:w="70" w:type="dxa"/>
            </w:tcMar>
          </w:tcPr>
          <w:p>
            <w:r>
              <w:rPr>
                <w:b/>
                <w:color w:val="FFFFFF"/>
                <w:sz w:val="15"/>
              </w:rPr>
              <w:t>Routine HIE rule</w:t>
            </w:r>
          </w:p>
        </w:tc>
        <w:tc>
          <w:tcPr>
            <w:tcW w:type="dxa" w:w="4536"/>
            <w:shd w:fill="315E78"/>
            <w:tcMar>
              <w:top w:w="55" w:type="dxa"/>
              <w:start w:w="70" w:type="dxa"/>
              <w:bottom w:w="55" w:type="dxa"/>
              <w:end w:w="70" w:type="dxa"/>
            </w:tcMar>
          </w:tcPr>
          <w:p>
            <w:r>
              <w:rPr>
                <w:b/>
                <w:color w:val="FFFFFF"/>
                <w:sz w:val="15"/>
              </w:rPr>
              <w:t>Operating boundary</w:t>
            </w:r>
          </w:p>
        </w:tc>
      </w:tr>
      <w:tr>
        <w:trPr>
          <w:cantSplit/>
        </w:trPr>
        <w:tc>
          <w:tcPr>
            <w:tcW w:type="dxa" w:w="2088"/>
            <w:tcMar>
              <w:top w:w="55" w:type="dxa"/>
              <w:start w:w="70" w:type="dxa"/>
              <w:bottom w:w="55" w:type="dxa"/>
              <w:end w:w="70" w:type="dxa"/>
            </w:tcMar>
            <w:vAlign w:val="top"/>
            <w:shd w:fill="F3F7F8"/>
          </w:tcPr>
          <w:p>
            <w:pPr>
              <w:spacing w:after="0"/>
            </w:pPr>
            <w:r>
              <w:rPr>
                <w:sz w:val="15"/>
              </w:rPr>
              <w:t>Eligible primary-care encounter</w:t>
            </w:r>
          </w:p>
        </w:tc>
        <w:tc>
          <w:tcPr>
            <w:tcW w:type="dxa" w:w="3384"/>
            <w:tcMar>
              <w:top w:w="55" w:type="dxa"/>
              <w:start w:w="70" w:type="dxa"/>
              <w:bottom w:w="55" w:type="dxa"/>
              <w:end w:w="70" w:type="dxa"/>
            </w:tcMar>
            <w:vAlign w:val="top"/>
            <w:shd w:fill="F3F7F8"/>
          </w:tcPr>
          <w:p>
            <w:pPr>
              <w:spacing w:after="0"/>
            </w:pPr>
            <w:r>
              <w:rPr>
                <w:sz w:val="15"/>
              </w:rPr>
              <w:t>Transmit under ordinary privacy and exchange controls, unless its content or linked artifacts would reveal protected SUD treatment.</w:t>
            </w:r>
          </w:p>
        </w:tc>
        <w:tc>
          <w:tcPr>
            <w:tcW w:type="dxa" w:w="4536"/>
            <w:tcMar>
              <w:top w:w="55" w:type="dxa"/>
              <w:start w:w="70" w:type="dxa"/>
              <w:bottom w:w="55" w:type="dxa"/>
              <w:end w:w="70" w:type="dxa"/>
            </w:tcMar>
            <w:vAlign w:val="top"/>
            <w:shd w:fill="F3F7F8"/>
          </w:tcPr>
          <w:p>
            <w:pPr>
              <w:spacing w:after="0"/>
            </w:pPr>
            <w:r>
              <w:rPr>
                <w:sz w:val="15"/>
              </w:rPr>
              <w:t>A patient’s use of the SUD service alone does not suppress otherwise eligible primary-care care.</w:t>
            </w:r>
          </w:p>
        </w:tc>
      </w:tr>
      <w:tr>
        <w:trPr>
          <w:cantSplit/>
        </w:trPr>
        <w:tc>
          <w:tcPr>
            <w:tcW w:type="dxa" w:w="2088"/>
            <w:tcMar>
              <w:top w:w="55" w:type="dxa"/>
              <w:start w:w="70" w:type="dxa"/>
              <w:bottom w:w="55" w:type="dxa"/>
              <w:end w:w="70" w:type="dxa"/>
            </w:tcMar>
            <w:vAlign w:val="top"/>
          </w:tcPr>
          <w:p>
            <w:pPr>
              <w:spacing w:after="0"/>
            </w:pPr>
            <w:r>
              <w:rPr>
                <w:sz w:val="15"/>
              </w:rPr>
              <w:t>Protected SUD encounter</w:t>
            </w:r>
          </w:p>
        </w:tc>
        <w:tc>
          <w:tcPr>
            <w:tcW w:type="dxa" w:w="3384"/>
            <w:tcMar>
              <w:top w:w="55" w:type="dxa"/>
              <w:start w:w="70" w:type="dxa"/>
              <w:bottom w:w="55" w:type="dxa"/>
              <w:end w:w="70" w:type="dxa"/>
            </w:tcMar>
            <w:vAlign w:val="top"/>
          </w:tcPr>
          <w:p>
            <w:pPr>
              <w:spacing w:after="0"/>
            </w:pPr>
            <w:r>
              <w:rPr>
                <w:sz w:val="15"/>
              </w:rPr>
              <w:t>Exclude by default from routine HIE release.</w:t>
            </w:r>
          </w:p>
        </w:tc>
        <w:tc>
          <w:tcPr>
            <w:tcW w:type="dxa" w:w="4536"/>
            <w:tcMar>
              <w:top w:w="55" w:type="dxa"/>
              <w:start w:w="70" w:type="dxa"/>
              <w:bottom w:w="55" w:type="dxa"/>
              <w:end w:w="70" w:type="dxa"/>
            </w:tcMar>
            <w:vAlign w:val="top"/>
          </w:tcPr>
          <w:p>
            <w:pPr>
              <w:spacing w:after="0"/>
            </w:pPr>
            <w:r>
              <w:rPr>
                <w:sz w:val="15"/>
              </w:rPr>
              <w:t>Release only through a validated, documented patient authorization or a narrow applicable exception.</w:t>
            </w:r>
          </w:p>
        </w:tc>
      </w:tr>
      <w:tr>
        <w:trPr>
          <w:cantSplit/>
        </w:trPr>
        <w:tc>
          <w:tcPr>
            <w:tcW w:type="dxa" w:w="2088"/>
            <w:tcMar>
              <w:top w:w="55" w:type="dxa"/>
              <w:start w:w="70" w:type="dxa"/>
              <w:bottom w:w="55" w:type="dxa"/>
              <w:end w:w="70" w:type="dxa"/>
            </w:tcMar>
            <w:vAlign w:val="top"/>
            <w:shd w:fill="F3F7F8"/>
          </w:tcPr>
          <w:p>
            <w:pPr>
              <w:spacing w:after="0"/>
            </w:pPr>
            <w:r>
              <w:rPr>
                <w:sz w:val="15"/>
              </w:rPr>
              <w:t>Mixed or unresolved encounter</w:t>
            </w:r>
          </w:p>
        </w:tc>
        <w:tc>
          <w:tcPr>
            <w:tcW w:type="dxa" w:w="3384"/>
            <w:tcMar>
              <w:top w:w="55" w:type="dxa"/>
              <w:start w:w="70" w:type="dxa"/>
              <w:bottom w:w="55" w:type="dxa"/>
              <w:end w:w="70" w:type="dxa"/>
            </w:tcMar>
            <w:vAlign w:val="top"/>
            <w:shd w:fill="F3F7F8"/>
          </w:tcPr>
          <w:p>
            <w:pPr>
              <w:spacing w:after="0"/>
            </w:pPr>
            <w:r>
              <w:rPr>
                <w:sz w:val="15"/>
              </w:rPr>
              <w:t>Hold from outbound transmission; mark restricted pending classification review/correction.</w:t>
            </w:r>
          </w:p>
        </w:tc>
        <w:tc>
          <w:tcPr>
            <w:tcW w:type="dxa" w:w="4536"/>
            <w:tcMar>
              <w:top w:w="55" w:type="dxa"/>
              <w:start w:w="70" w:type="dxa"/>
              <w:bottom w:w="55" w:type="dxa"/>
              <w:end w:w="70" w:type="dxa"/>
            </w:tcMar>
            <w:vAlign w:val="top"/>
            <w:shd w:fill="F3F7F8"/>
          </w:tcPr>
          <w:p>
            <w:pPr>
              <w:spacing w:after="0"/>
            </w:pPr>
            <w:r>
              <w:rPr>
                <w:sz w:val="15"/>
              </w:rPr>
              <w:t>No clinician “best judgment” auto-release. A cleared, corrected encounter may be released prospectively only when authority and content are confirmed.</w:t>
            </w:r>
          </w:p>
        </w:tc>
      </w:tr>
      <w:tr>
        <w:trPr>
          <w:cantSplit/>
        </w:trPr>
        <w:tc>
          <w:tcPr>
            <w:tcW w:type="dxa" w:w="2088"/>
            <w:tcMar>
              <w:top w:w="55" w:type="dxa"/>
              <w:start w:w="70" w:type="dxa"/>
              <w:bottom w:w="55" w:type="dxa"/>
              <w:end w:w="70" w:type="dxa"/>
            </w:tcMar>
            <w:vAlign w:val="top"/>
          </w:tcPr>
          <w:p>
            <w:pPr>
              <w:spacing w:after="0"/>
            </w:pPr>
            <w:r>
              <w:rPr>
                <w:sz w:val="15"/>
              </w:rPr>
              <w:t>Longitudinal medication + problem payloads</w:t>
            </w:r>
          </w:p>
        </w:tc>
        <w:tc>
          <w:tcPr>
            <w:tcW w:type="dxa" w:w="3384"/>
            <w:tcMar>
              <w:top w:w="55" w:type="dxa"/>
              <w:start w:w="70" w:type="dxa"/>
              <w:bottom w:w="55" w:type="dxa"/>
              <w:end w:w="70" w:type="dxa"/>
            </w:tcMar>
            <w:vAlign w:val="top"/>
          </w:tcPr>
          <w:p>
            <w:pPr>
              <w:spacing w:after="0"/>
            </w:pPr>
            <w:r>
              <w:rPr>
                <w:sz w:val="15"/>
              </w:rPr>
              <w:t>Do not send chart-level medication-list or problem-list payloads in this configuration.</w:t>
            </w:r>
          </w:p>
        </w:tc>
        <w:tc>
          <w:tcPr>
            <w:tcW w:type="dxa" w:w="4536"/>
            <w:tcMar>
              <w:top w:w="55" w:type="dxa"/>
              <w:start w:w="70" w:type="dxa"/>
              <w:bottom w:w="55" w:type="dxa"/>
              <w:end w:w="70" w:type="dxa"/>
            </w:tcMar>
            <w:vAlign w:val="top"/>
          </w:tcPr>
          <w:p>
            <w:pPr>
              <w:spacing w:after="0"/>
            </w:pPr>
            <w:r>
              <w:rPr>
                <w:sz w:val="15"/>
              </w:rPr>
              <w:t>The EHR cannot segment individual problem-list or medication-list entries for exchange. Internal clinicians retain the unified medication list.</w:t>
            </w:r>
          </w:p>
        </w:tc>
      </w:tr>
      <w:tr>
        <w:trPr>
          <w:cantSplit/>
        </w:trPr>
        <w:tc>
          <w:tcPr>
            <w:tcW w:type="dxa" w:w="2088"/>
            <w:tcMar>
              <w:top w:w="55" w:type="dxa"/>
              <w:start w:w="70" w:type="dxa"/>
              <w:bottom w:w="55" w:type="dxa"/>
              <w:end w:w="70" w:type="dxa"/>
            </w:tcMar>
            <w:vAlign w:val="top"/>
            <w:shd w:fill="F3F7F8"/>
          </w:tcPr>
          <w:p>
            <w:pPr>
              <w:spacing w:after="0"/>
            </w:pPr>
            <w:r>
              <w:rPr>
                <w:sz w:val="15"/>
              </w:rPr>
              <w:t>Linked artifacts and metadata</w:t>
            </w:r>
          </w:p>
        </w:tc>
        <w:tc>
          <w:tcPr>
            <w:tcW w:type="dxa" w:w="3384"/>
            <w:tcMar>
              <w:top w:w="55" w:type="dxa"/>
              <w:start w:w="70" w:type="dxa"/>
              <w:bottom w:w="55" w:type="dxa"/>
              <w:end w:w="70" w:type="dxa"/>
            </w:tcMar>
            <w:vAlign w:val="top"/>
            <w:shd w:fill="F3F7F8"/>
          </w:tcPr>
          <w:p>
            <w:pPr>
              <w:spacing w:after="0"/>
            </w:pPr>
            <w:r>
              <w:rPr>
                <w:sz w:val="15"/>
              </w:rPr>
              <w:t>Inherit/reconcile the parent encounter restriction for orders, results, referrals, documents, notes, attachments, and routing artifacts.</w:t>
            </w:r>
          </w:p>
        </w:tc>
        <w:tc>
          <w:tcPr>
            <w:tcW w:type="dxa" w:w="4536"/>
            <w:tcMar>
              <w:top w:w="55" w:type="dxa"/>
              <w:start w:w="70" w:type="dxa"/>
              <w:bottom w:w="55" w:type="dxa"/>
              <w:end w:w="70" w:type="dxa"/>
            </w:tcMar>
            <w:vAlign w:val="top"/>
            <w:shd w:fill="F3F7F8"/>
          </w:tcPr>
          <w:p>
            <w:pPr>
              <w:spacing w:after="0"/>
            </w:pPr>
            <w:r>
              <w:rPr>
                <w:sz w:val="15"/>
              </w:rPr>
              <w:t>Suppress revealing encounter/department names, service labels and alerts from outbound data; use neutral routing labels where needed. Identity/demographics may support matching, not disclosure of SUD participation.</w:t>
            </w:r>
          </w:p>
        </w:tc>
      </w:tr>
    </w:tbl>
    <w:p>
      <w:pPr>
        <w:spacing w:after="0"/>
      </w:pPr>
    </w:p>
    <w:p>
      <w:pPr>
        <w:pStyle w:val="Heading1"/>
      </w:pPr>
      <w:r>
        <w:t>3. Changes authorized from the current configuration</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5688"/>
            <w:shd w:fill="315E78"/>
            <w:tcMar>
              <w:top w:w="55" w:type="dxa"/>
              <w:start w:w="70" w:type="dxa"/>
              <w:bottom w:w="55" w:type="dxa"/>
              <w:end w:w="70" w:type="dxa"/>
            </w:tcMar>
          </w:tcPr>
          <w:p>
            <w:r>
              <w:rPr>
                <w:b/>
                <w:color w:val="FFFFFF"/>
                <w:sz w:val="15"/>
              </w:rPr>
              <w:t>Approve now</w:t>
            </w:r>
          </w:p>
        </w:tc>
        <w:tc>
          <w:tcPr>
            <w:tcW w:type="dxa" w:w="4320"/>
            <w:shd w:fill="315E78"/>
            <w:tcMar>
              <w:top w:w="55" w:type="dxa"/>
              <w:start w:w="70" w:type="dxa"/>
              <w:bottom w:w="55" w:type="dxa"/>
              <w:end w:w="70" w:type="dxa"/>
            </w:tcMar>
          </w:tcPr>
          <w:p>
            <w:r>
              <w:rPr>
                <w:b/>
                <w:color w:val="FFFFFF"/>
                <w:sz w:val="15"/>
              </w:rPr>
              <w:t>Preserve / do not change</w:t>
            </w:r>
          </w:p>
        </w:tc>
      </w:tr>
      <w:tr>
        <w:trPr>
          <w:cantSplit/>
        </w:trPr>
        <w:tc>
          <w:tcPr>
            <w:tcW w:type="dxa" w:w="5688"/>
            <w:tcMar>
              <w:top w:w="55" w:type="dxa"/>
              <w:start w:w="70" w:type="dxa"/>
              <w:bottom w:w="55" w:type="dxa"/>
              <w:end w:w="70" w:type="dxa"/>
            </w:tcMar>
            <w:vAlign w:val="top"/>
            <w:shd w:fill="F3F7F8"/>
          </w:tcPr>
          <w:p>
            <w:pPr>
              <w:spacing w:after="0"/>
            </w:pPr>
            <w:r>
              <w:rPr>
                <w:sz w:val="15"/>
              </w:rPr>
              <w:t>Enable encounter-level outbound routing; create a default restricted class for protected, mixed, and unresolved encounters; disable longitudinal medication and problem-list feeds; map linked artifacts and metadata to parent sensitivity; add exception queue, audit fields, role permissions, incident containment and correction workflow.</w:t>
            </w:r>
          </w:p>
        </w:tc>
        <w:tc>
          <w:tcPr>
            <w:tcW w:type="dxa" w:w="4320"/>
            <w:tcMar>
              <w:top w:w="55" w:type="dxa"/>
              <w:start w:w="70" w:type="dxa"/>
              <w:bottom w:w="55" w:type="dxa"/>
              <w:end w:w="70" w:type="dxa"/>
            </w:tcMar>
            <w:vAlign w:val="top"/>
            <w:shd w:fill="F3F7F8"/>
          </w:tcPr>
          <w:p>
            <w:pPr>
              <w:spacing w:after="0"/>
            </w:pPr>
            <w:r>
              <w:rPr>
                <w:sz w:val="15"/>
              </w:rPr>
              <w:t>One EHR, one patient chart, and the unified internal medication list. No patient-level wall-off, chart split, problem-level filtering, medication-level filtering, or recurring manual review of every exchange transaction.</w:t>
            </w:r>
          </w:p>
        </w:tc>
      </w:tr>
      <w:tr>
        <w:trPr>
          <w:cantSplit/>
        </w:trPr>
        <w:tc>
          <w:tcPr>
            <w:tcW w:type="dxa" w:w="5688"/>
            <w:tcMar>
              <w:top w:w="55" w:type="dxa"/>
              <w:start w:w="70" w:type="dxa"/>
              <w:bottom w:w="55" w:type="dxa"/>
              <w:end w:w="70" w:type="dxa"/>
            </w:tcMar>
            <w:vAlign w:val="top"/>
          </w:tcPr>
          <w:p>
            <w:pPr>
              <w:spacing w:after="0"/>
            </w:pPr>
            <w:r>
              <w:rPr>
                <w:sz w:val="15"/>
              </w:rPr>
              <w:t>Complete the eight-week move to dedicated SUD departments and encounter types; configure them as the primary end-state routing signal. Maintain an exception path for mixed content, misclassification, and uncertain scope—labels improve reliability but do not conclusively determine legal coverage.</w:t>
            </w:r>
          </w:p>
        </w:tc>
        <w:tc>
          <w:tcPr>
            <w:tcW w:type="dxa" w:w="4320"/>
            <w:tcMar>
              <w:top w:w="55" w:type="dxa"/>
              <w:start w:w="70" w:type="dxa"/>
              <w:bottom w:w="55" w:type="dxa"/>
              <w:end w:w="70" w:type="dxa"/>
            </w:tcMar>
            <w:vAlign w:val="top"/>
          </w:tcPr>
          <w:p>
            <w:pPr>
              <w:spacing w:after="0"/>
            </w:pPr>
            <w:r>
              <w:rPr>
                <w:sz w:val="15"/>
              </w:rPr>
              <w:t>Existing historical and already-booked encounter labels are not treated as reliable release authority during transition.</w:t>
            </w:r>
          </w:p>
        </w:tc>
      </w:tr>
    </w:tbl>
    <w:p>
      <w:pPr>
        <w:spacing w:after="0"/>
      </w:pPr>
    </w:p>
    <w:p>
      <w:pPr>
        <w:pStyle w:val="Heading1"/>
      </w:pPr>
      <w:r>
        <w:t>4. Operating model: transition, end state, and exceptions</w:t>
      </w:r>
    </w:p>
    <w:tbl>
      <w:tblPr>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45"/>
            <w:shd w:fill="315E78"/>
            <w:tcMar>
              <w:top w:w="55" w:type="dxa"/>
              <w:start w:w="70" w:type="dxa"/>
              <w:bottom w:w="55" w:type="dxa"/>
              <w:end w:w="70" w:type="dxa"/>
            </w:tcMar>
          </w:tcPr>
          <w:p>
            <w:r>
              <w:rPr>
                <w:b/>
                <w:color w:val="FFFFFF"/>
                <w:sz w:val="15"/>
              </w:rPr>
              <w:t>Period / pathway</w:t>
            </w:r>
          </w:p>
        </w:tc>
        <w:tc>
          <w:tcPr>
            <w:tcW w:type="dxa" w:w="5285"/>
            <w:shd w:fill="315E78"/>
            <w:tcMar>
              <w:top w:w="55" w:type="dxa"/>
              <w:start w:w="70" w:type="dxa"/>
              <w:bottom w:w="55" w:type="dxa"/>
              <w:end w:w="70" w:type="dxa"/>
            </w:tcMar>
          </w:tcPr>
          <w:p>
            <w:r>
              <w:rPr>
                <w:b/>
                <w:color w:val="FFFFFF"/>
                <w:sz w:val="15"/>
              </w:rPr>
              <w:t>Rule and accountable action</w:t>
            </w:r>
          </w:p>
        </w:tc>
        <w:tc>
          <w:tcPr>
            <w:tcW w:type="dxa" w:w="2678"/>
            <w:shd w:fill="315E78"/>
            <w:tcMar>
              <w:top w:w="55" w:type="dxa"/>
              <w:start w:w="70" w:type="dxa"/>
              <w:bottom w:w="55" w:type="dxa"/>
              <w:end w:w="70" w:type="dxa"/>
            </w:tcMar>
          </w:tcPr>
          <w:p>
            <w:r>
              <w:rPr>
                <w:b/>
                <w:color w:val="FFFFFF"/>
                <w:sz w:val="15"/>
              </w:rPr>
              <w:t>Expected qualitative outcome / assumption</w:t>
            </w:r>
          </w:p>
        </w:tc>
      </w:tr>
      <w:tr>
        <w:trPr>
          <w:cantSplit/>
        </w:trPr>
        <w:tc>
          <w:tcPr>
            <w:tcW w:type="dxa" w:w="2045"/>
            <w:tcMar>
              <w:top w:w="55" w:type="dxa"/>
              <w:start w:w="70" w:type="dxa"/>
              <w:bottom w:w="55" w:type="dxa"/>
              <w:end w:w="70" w:type="dxa"/>
            </w:tcMar>
            <w:vAlign w:val="top"/>
            <w:shd w:fill="F3F7F8"/>
          </w:tcPr>
          <w:p>
            <w:pPr>
              <w:spacing w:after="0"/>
            </w:pPr>
            <w:r>
              <w:rPr>
                <w:sz w:val="15"/>
              </w:rPr>
              <w:t>Eight-week transition</w:t>
            </w:r>
          </w:p>
        </w:tc>
        <w:tc>
          <w:tcPr>
            <w:tcW w:type="dxa" w:w="5285"/>
            <w:tcMar>
              <w:top w:w="55" w:type="dxa"/>
              <w:start w:w="70" w:type="dxa"/>
              <w:bottom w:w="55" w:type="dxa"/>
              <w:end w:w="70" w:type="dxa"/>
            </w:tcMar>
            <w:vAlign w:val="top"/>
            <w:shd w:fill="F3F7F8"/>
          </w:tcPr>
          <w:p>
            <w:pPr>
              <w:spacing w:after="0"/>
            </w:pPr>
            <w:r>
              <w:rPr>
                <w:sz w:val="15"/>
              </w:rPr>
              <w:t>For historical and already-booked encounters, validate against provenance/content mapping before release; do not use inconsistent labels as the sole basis. Unresolved before transmission remains restricted, is routed to the designated classification reviewer, and is not released until disposition. Corrected sensitivity/department classifications are approved by the classification lead; stop queued release, assess any prior transmission, preserve audit evidence, and invoke incident response when warranted.</w:t>
            </w:r>
          </w:p>
        </w:tc>
        <w:tc>
          <w:tcPr>
            <w:tcW w:type="dxa" w:w="2678"/>
            <w:tcMar>
              <w:top w:w="55" w:type="dxa"/>
              <w:start w:w="70" w:type="dxa"/>
              <w:bottom w:w="55" w:type="dxa"/>
              <w:end w:w="70" w:type="dxa"/>
            </w:tcMar>
            <w:vAlign w:val="top"/>
            <w:shd w:fill="F3F7F8"/>
          </w:tcPr>
          <w:p>
            <w:pPr>
              <w:spacing w:after="0"/>
            </w:pPr>
            <w:r>
              <w:rPr>
                <w:sz w:val="15"/>
              </w:rPr>
              <w:t>Assumptions: labels are unreliable during staged conversion and recurring manual capacity is constrained. More holds and targeted validations are expected; routine eligible encounters continue where reliably classified.</w:t>
            </w:r>
          </w:p>
        </w:tc>
      </w:tr>
      <w:tr>
        <w:trPr>
          <w:cantSplit/>
        </w:trPr>
        <w:tc>
          <w:tcPr>
            <w:tcW w:type="dxa" w:w="2045"/>
            <w:tcMar>
              <w:top w:w="55" w:type="dxa"/>
              <w:start w:w="70" w:type="dxa"/>
              <w:bottom w:w="55" w:type="dxa"/>
              <w:end w:w="70" w:type="dxa"/>
            </w:tcMar>
            <w:vAlign w:val="top"/>
          </w:tcPr>
          <w:p>
            <w:pPr>
              <w:spacing w:after="0"/>
            </w:pPr>
            <w:r>
              <w:rPr>
                <w:sz w:val="15"/>
              </w:rPr>
              <w:t>End state</w:t>
            </w:r>
          </w:p>
        </w:tc>
        <w:tc>
          <w:tcPr>
            <w:tcW w:type="dxa" w:w="5285"/>
            <w:tcMar>
              <w:top w:w="55" w:type="dxa"/>
              <w:start w:w="70" w:type="dxa"/>
              <w:bottom w:w="55" w:type="dxa"/>
              <w:end w:w="70" w:type="dxa"/>
            </w:tcMar>
            <w:vAlign w:val="top"/>
          </w:tcPr>
          <w:p>
            <w:pPr>
              <w:spacing w:after="0"/>
            </w:pPr>
            <w:r>
              <w:rPr>
                <w:sz w:val="15"/>
              </w:rPr>
              <w:t>Dedicated SUD department plus encounter types route protected encounters to default exclusion. Primary-care routing remains open only when the encounter and linked artifacts pass the protected-content screen. Mixed/misclassified content follows the same restricted exception path.</w:t>
            </w:r>
          </w:p>
        </w:tc>
        <w:tc>
          <w:tcPr>
            <w:tcW w:type="dxa" w:w="2678"/>
            <w:tcMar>
              <w:top w:w="55" w:type="dxa"/>
              <w:start w:w="70" w:type="dxa"/>
              <w:bottom w:w="55" w:type="dxa"/>
              <w:end w:w="70" w:type="dxa"/>
            </w:tcMar>
            <w:vAlign w:val="top"/>
          </w:tcPr>
          <w:p>
            <w:pPr>
              <w:spacing w:after="0"/>
            </w:pPr>
            <w:r>
              <w:rPr>
                <w:sz w:val="15"/>
              </w:rPr>
              <w:t>More consistent routing is expected as the dedicated structure stabilizes. Residual risk remains from mixed content, incorrect assignment, and non-segmentable longitudinal data; these feeds stay suppressed.</w:t>
            </w:r>
          </w:p>
        </w:tc>
      </w:tr>
      <w:tr>
        <w:trPr>
          <w:cantSplit/>
        </w:trPr>
        <w:tc>
          <w:tcPr>
            <w:tcW w:type="dxa" w:w="2045"/>
            <w:tcMar>
              <w:top w:w="55" w:type="dxa"/>
              <w:start w:w="70" w:type="dxa"/>
              <w:bottom w:w="55" w:type="dxa"/>
              <w:end w:w="70" w:type="dxa"/>
            </w:tcMar>
            <w:vAlign w:val="top"/>
            <w:shd w:fill="F3F7F8"/>
          </w:tcPr>
          <w:p>
            <w:pPr>
              <w:spacing w:after="0"/>
            </w:pPr>
            <w:r>
              <w:rPr>
                <w:sz w:val="15"/>
              </w:rPr>
              <w:t>Patient-authorized release (exception)</w:t>
            </w:r>
          </w:p>
        </w:tc>
        <w:tc>
          <w:tcPr>
            <w:tcW w:type="dxa" w:w="5285"/>
            <w:tcMar>
              <w:top w:w="55" w:type="dxa"/>
              <w:start w:w="70" w:type="dxa"/>
              <w:bottom w:w="55" w:type="dxa"/>
              <w:end w:w="70" w:type="dxa"/>
            </w:tcMar>
            <w:vAlign w:val="top"/>
            <w:shd w:fill="F3F7F8"/>
          </w:tcPr>
          <w:p>
            <w:pPr>
              <w:spacing w:after="0"/>
            </w:pPr>
            <w:r>
              <w:rPr>
                <w:sz w:val="15"/>
              </w:rPr>
              <w:t>Release manager verifies a valid, documented authorization for the intended recipient, specific information, purpose, and duration; then releases only the authorized scope. Revalidate before each later release; stop on expiration, revocation, or material change.</w:t>
            </w:r>
          </w:p>
        </w:tc>
        <w:tc>
          <w:tcPr>
            <w:tcW w:type="dxa" w:w="2678"/>
            <w:tcMar>
              <w:top w:w="55" w:type="dxa"/>
              <w:start w:w="70" w:type="dxa"/>
              <w:bottom w:w="55" w:type="dxa"/>
              <w:end w:w="70" w:type="dxa"/>
            </w:tcMar>
            <w:vAlign w:val="top"/>
            <w:shd w:fill="F3F7F8"/>
          </w:tcPr>
          <w:p>
            <w:pPr>
              <w:spacing w:after="0"/>
            </w:pPr>
            <w:r>
              <w:rPr>
                <w:sz w:val="15"/>
              </w:rPr>
              <w:t>Exception only—not baseline architecture—so manual work is limited to requested releases rather than every HIE event.</w:t>
            </w:r>
          </w:p>
        </w:tc>
      </w:tr>
      <w:tr>
        <w:trPr>
          <w:cantSplit/>
        </w:trPr>
        <w:tc>
          <w:tcPr>
            <w:tcW w:type="dxa" w:w="2045"/>
            <w:tcMar>
              <w:top w:w="55" w:type="dxa"/>
              <w:start w:w="70" w:type="dxa"/>
              <w:bottom w:w="55" w:type="dxa"/>
              <w:end w:w="70" w:type="dxa"/>
            </w:tcMar>
            <w:vAlign w:val="top"/>
          </w:tcPr>
          <w:p>
            <w:pPr>
              <w:spacing w:after="0"/>
            </w:pPr>
            <w:r>
              <w:rPr>
                <w:sz w:val="15"/>
              </w:rPr>
              <w:t>Urgent unconscious-patient request</w:t>
            </w:r>
          </w:p>
        </w:tc>
        <w:tc>
          <w:tcPr>
            <w:tcW w:type="dxa" w:w="5285"/>
            <w:tcMar>
              <w:top w:w="55" w:type="dxa"/>
              <w:start w:w="70" w:type="dxa"/>
              <w:bottom w:w="55" w:type="dxa"/>
              <w:end w:w="70" w:type="dxa"/>
            </w:tcMar>
            <w:vAlign w:val="top"/>
          </w:tcPr>
          <w:p>
            <w:pPr>
              <w:spacing w:after="0"/>
            </w:pPr>
            <w:r>
              <w:rPr>
                <w:sz w:val="15"/>
              </w:rPr>
              <w:t>Authorized clinical/privacy decision maker may use a narrow medical-emergency pathway only when relevant information is needed immediately for treatment and delay risks serious harm, ordinary permission cannot be obtained, and Compliance’s validated rule permits it. Disclose only relevant emergency information; do not automatically open the full SUD record. Technical break-glass enables access, not disclosure authority.</w:t>
            </w:r>
          </w:p>
        </w:tc>
        <w:tc>
          <w:tcPr>
            <w:tcW w:type="dxa" w:w="2678"/>
            <w:tcMar>
              <w:top w:w="55" w:type="dxa"/>
              <w:start w:w="70" w:type="dxa"/>
              <w:bottom w:w="55" w:type="dxa"/>
              <w:end w:w="70" w:type="dxa"/>
            </w:tcMar>
            <w:vAlign w:val="top"/>
          </w:tcPr>
          <w:p>
            <w:pPr>
              <w:spacing w:after="0"/>
            </w:pPr>
            <w:r>
              <w:rPr>
                <w:sz w:val="15"/>
              </w:rPr>
              <w:t>Promptly record emergency basis, requester/recipient, information disclosed, date/time, and authorizing actor; conduct follow-up review.</w:t>
            </w:r>
          </w:p>
        </w:tc>
      </w:tr>
    </w:tbl>
    <w:p>
      <w:pPr>
        <w:spacing w:after="0"/>
      </w:pPr>
    </w:p>
    <w:p>
      <w:pPr>
        <w:pStyle w:val="Heading1"/>
      </w:pPr>
      <w:r>
        <w:t>5. Alternatives set aside</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2160"/>
            <w:shd w:fill="315E78"/>
            <w:tcMar>
              <w:top w:w="55" w:type="dxa"/>
              <w:start w:w="70" w:type="dxa"/>
              <w:bottom w:w="55" w:type="dxa"/>
              <w:end w:w="70" w:type="dxa"/>
            </w:tcMar>
          </w:tcPr>
          <w:p>
            <w:r>
              <w:rPr>
                <w:b/>
                <w:color w:val="FFFFFF"/>
                <w:sz w:val="15"/>
              </w:rPr>
              <w:t>Alternative</w:t>
            </w:r>
          </w:p>
        </w:tc>
        <w:tc>
          <w:tcPr>
            <w:tcW w:type="dxa" w:w="7848"/>
            <w:shd w:fill="315E78"/>
            <w:tcMar>
              <w:top w:w="55" w:type="dxa"/>
              <w:start w:w="70" w:type="dxa"/>
              <w:bottom w:w="55" w:type="dxa"/>
              <w:end w:w="70" w:type="dxa"/>
            </w:tcMar>
          </w:tcPr>
          <w:p>
            <w:r>
              <w:rPr>
                <w:b/>
                <w:color w:val="FFFFFF"/>
                <w:sz w:val="15"/>
              </w:rPr>
              <w:t>Why not the baseline (same decision tests: privacy, clinical continuity, HIE participation, capacity, technology)</w:t>
            </w:r>
          </w:p>
        </w:tc>
      </w:tr>
      <w:tr>
        <w:trPr>
          <w:cantSplit/>
        </w:trPr>
        <w:tc>
          <w:tcPr>
            <w:tcW w:type="dxa" w:w="2160"/>
            <w:tcMar>
              <w:top w:w="55" w:type="dxa"/>
              <w:start w:w="70" w:type="dxa"/>
              <w:bottom w:w="55" w:type="dxa"/>
              <w:end w:w="70" w:type="dxa"/>
            </w:tcMar>
            <w:vAlign w:val="top"/>
            <w:shd w:fill="F3F7F8"/>
          </w:tcPr>
          <w:p>
            <w:pPr>
              <w:spacing w:after="0"/>
            </w:pPr>
            <w:r>
              <w:rPr>
                <w:sz w:val="15"/>
              </w:rPr>
              <w:t>Split charts</w:t>
            </w:r>
          </w:p>
        </w:tc>
        <w:tc>
          <w:tcPr>
            <w:tcW w:type="dxa" w:w="7848"/>
            <w:tcMar>
              <w:top w:w="55" w:type="dxa"/>
              <w:start w:w="70" w:type="dxa"/>
              <w:bottom w:w="55" w:type="dxa"/>
              <w:end w:w="70" w:type="dxa"/>
            </w:tcMar>
            <w:vAlign w:val="top"/>
            <w:shd w:fill="F3F7F8"/>
          </w:tcPr>
          <w:p>
            <w:pPr>
              <w:spacing w:after="0"/>
            </w:pPr>
            <w:r>
              <w:rPr>
                <w:sz w:val="15"/>
              </w:rPr>
              <w:t>Rejected: fragments the unified medication view and introduces reconciliation and duplicate-record risk; it is disproportionate when encounter-based external controls can preserve the internal chart.</w:t>
            </w:r>
          </w:p>
        </w:tc>
      </w:tr>
      <w:tr>
        <w:trPr>
          <w:cantSplit/>
        </w:trPr>
        <w:tc>
          <w:tcPr>
            <w:tcW w:type="dxa" w:w="2160"/>
            <w:tcMar>
              <w:top w:w="55" w:type="dxa"/>
              <w:start w:w="70" w:type="dxa"/>
              <w:bottom w:w="55" w:type="dxa"/>
              <w:end w:w="70" w:type="dxa"/>
            </w:tcMar>
            <w:vAlign w:val="top"/>
          </w:tcPr>
          <w:p>
            <w:pPr>
              <w:spacing w:after="0"/>
            </w:pPr>
            <w:r>
              <w:rPr>
                <w:sz w:val="15"/>
              </w:rPr>
              <w:t>Suppress the whole practice</w:t>
            </w:r>
          </w:p>
        </w:tc>
        <w:tc>
          <w:tcPr>
            <w:tcW w:type="dxa" w:w="7848"/>
            <w:tcMar>
              <w:top w:w="55" w:type="dxa"/>
              <w:start w:w="70" w:type="dxa"/>
              <w:bottom w:w="55" w:type="dxa"/>
              <w:end w:w="70" w:type="dxa"/>
            </w:tcMar>
            <w:vAlign w:val="top"/>
          </w:tcPr>
          <w:p>
            <w:pPr>
              <w:spacing w:after="0"/>
            </w:pPr>
            <w:r>
              <w:rPr>
                <w:sz w:val="15"/>
              </w:rPr>
              <w:t>Rejected: over-restricts eligible primary-care exchange, undermining the participation commitment and care-coordination objective without adding a targeted safeguard.</w:t>
            </w:r>
          </w:p>
        </w:tc>
      </w:tr>
      <w:tr>
        <w:trPr>
          <w:cantSplit/>
        </w:trPr>
        <w:tc>
          <w:tcPr>
            <w:tcW w:type="dxa" w:w="2160"/>
            <w:tcMar>
              <w:top w:w="55" w:type="dxa"/>
              <w:start w:w="70" w:type="dxa"/>
              <w:bottom w:w="55" w:type="dxa"/>
              <w:end w:w="70" w:type="dxa"/>
            </w:tcMar>
            <w:vAlign w:val="top"/>
            <w:shd w:fill="F3F7F8"/>
          </w:tcPr>
          <w:p>
            <w:pPr>
              <w:spacing w:after="0"/>
            </w:pPr>
            <w:r>
              <w:rPr>
                <w:sz w:val="15"/>
              </w:rPr>
              <w:t>Broad recurring consent management</w:t>
            </w:r>
          </w:p>
        </w:tc>
        <w:tc>
          <w:tcPr>
            <w:tcW w:type="dxa" w:w="7848"/>
            <w:tcMar>
              <w:top w:w="55" w:type="dxa"/>
              <w:start w:w="70" w:type="dxa"/>
              <w:bottom w:w="55" w:type="dxa"/>
              <w:end w:w="70" w:type="dxa"/>
            </w:tcMar>
            <w:vAlign w:val="top"/>
            <w:shd w:fill="F3F7F8"/>
          </w:tcPr>
          <w:p>
            <w:pPr>
              <w:spacing w:after="0"/>
            </w:pPr>
            <w:r>
              <w:rPr>
                <w:sz w:val="15"/>
              </w:rPr>
              <w:t>Rejected: requires ongoing manual review at a level the team cannot sustain and adds expiration/revocation and routing failure points. Authorization remains available for controlled exceptions.</w:t>
            </w:r>
          </w:p>
        </w:tc>
      </w:tr>
    </w:tbl>
    <w:p>
      <w:pPr>
        <w:spacing w:after="0"/>
      </w:pPr>
    </w:p>
    <w:p>
      <w:pPr>
        <w:pStyle w:val="Heading1"/>
      </w:pPr>
      <w:r>
        <w:t>6. Implementation, assurance, and go-live gates</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2232"/>
            <w:shd w:fill="315E78"/>
            <w:tcMar>
              <w:top w:w="55" w:type="dxa"/>
              <w:start w:w="70" w:type="dxa"/>
              <w:bottom w:w="55" w:type="dxa"/>
              <w:end w:w="70" w:type="dxa"/>
            </w:tcMar>
          </w:tcPr>
          <w:p>
            <w:r>
              <w:rPr>
                <w:b/>
                <w:color w:val="FFFFFF"/>
                <w:sz w:val="15"/>
              </w:rPr>
              <w:t>Function</w:t>
            </w:r>
          </w:p>
        </w:tc>
        <w:tc>
          <w:tcPr>
            <w:tcW w:type="dxa" w:w="7776"/>
            <w:shd w:fill="315E78"/>
            <w:tcMar>
              <w:top w:w="55" w:type="dxa"/>
              <w:start w:w="70" w:type="dxa"/>
              <w:bottom w:w="55" w:type="dxa"/>
              <w:end w:w="70" w:type="dxa"/>
            </w:tcMar>
          </w:tcPr>
          <w:p>
            <w:r>
              <w:rPr>
                <w:b/>
                <w:color w:val="FFFFFF"/>
                <w:sz w:val="15"/>
              </w:rPr>
              <w:t>Accountability and acceptance evidence</w:t>
            </w:r>
          </w:p>
        </w:tc>
      </w:tr>
      <w:tr>
        <w:trPr>
          <w:cantSplit/>
        </w:trPr>
        <w:tc>
          <w:tcPr>
            <w:tcW w:type="dxa" w:w="2232"/>
            <w:tcMar>
              <w:top w:w="55" w:type="dxa"/>
              <w:start w:w="70" w:type="dxa"/>
              <w:bottom w:w="55" w:type="dxa"/>
              <w:end w:w="70" w:type="dxa"/>
            </w:tcMar>
            <w:vAlign w:val="top"/>
            <w:shd w:fill="F3F7F8"/>
          </w:tcPr>
          <w:p>
            <w:pPr>
              <w:spacing w:after="0"/>
            </w:pPr>
            <w:r>
              <w:rPr>
                <w:sz w:val="15"/>
              </w:rPr>
              <w:t>Classification &amp; clinical validation</w:t>
            </w:r>
          </w:p>
        </w:tc>
        <w:tc>
          <w:tcPr>
            <w:tcW w:type="dxa" w:w="7776"/>
            <w:tcMar>
              <w:top w:w="55" w:type="dxa"/>
              <w:start w:w="70" w:type="dxa"/>
              <w:bottom w:w="55" w:type="dxa"/>
              <w:end w:w="70" w:type="dxa"/>
            </w:tcMar>
            <w:vAlign w:val="top"/>
            <w:shd w:fill="F3F7F8"/>
          </w:tcPr>
          <w:p>
            <w:pPr>
              <w:spacing w:after="0"/>
            </w:pPr>
            <w:r>
              <w:rPr>
                <w:sz w:val="15"/>
              </w:rPr>
              <w:t>Clinical operations owns encounter taxonomy, mixed-content escalation, correction authority, and clinical validation. Privacy/Compliance validates scope assumptions and escalates genuinely uncertain coverage or disclosure authority; routine eligible routing does not require legal review.</w:t>
            </w:r>
          </w:p>
        </w:tc>
      </w:tr>
      <w:tr>
        <w:trPr>
          <w:cantSplit/>
        </w:trPr>
        <w:tc>
          <w:tcPr>
            <w:tcW w:type="dxa" w:w="2232"/>
            <w:tcMar>
              <w:top w:w="55" w:type="dxa"/>
              <w:start w:w="70" w:type="dxa"/>
              <w:bottom w:w="55" w:type="dxa"/>
              <w:end w:w="70" w:type="dxa"/>
            </w:tcMar>
            <w:vAlign w:val="top"/>
          </w:tcPr>
          <w:p>
            <w:pPr>
              <w:spacing w:after="0"/>
            </w:pPr>
            <w:r>
              <w:rPr>
                <w:sz w:val="15"/>
              </w:rPr>
              <w:t>Exchange configuration &amp; privacy approval</w:t>
            </w:r>
          </w:p>
        </w:tc>
        <w:tc>
          <w:tcPr>
            <w:tcW w:type="dxa" w:w="7776"/>
            <w:tcMar>
              <w:top w:w="55" w:type="dxa"/>
              <w:start w:w="70" w:type="dxa"/>
              <w:bottom w:w="55" w:type="dxa"/>
              <w:end w:w="70" w:type="dxa"/>
            </w:tcMar>
            <w:vAlign w:val="top"/>
          </w:tcPr>
          <w:p>
            <w:pPr>
              <w:spacing w:after="0"/>
            </w:pPr>
            <w:r>
              <w:rPr>
                <w:sz w:val="15"/>
              </w:rPr>
              <w:t>HIE/IT configures encounter routing, linked-artifact/metadata controls, longitudinal-feed suppression, role separation, and outbound audit capture. Privacy approves exception and emergency workflow. Only designated roles may classify, override, or release protected encounters; ordinary exchange users cannot.</w:t>
            </w:r>
          </w:p>
        </w:tc>
      </w:tr>
      <w:tr>
        <w:trPr>
          <w:cantSplit/>
        </w:trPr>
        <w:tc>
          <w:tcPr>
            <w:tcW w:type="dxa" w:w="2232"/>
            <w:tcMar>
              <w:top w:w="55" w:type="dxa"/>
              <w:start w:w="70" w:type="dxa"/>
              <w:bottom w:w="55" w:type="dxa"/>
              <w:end w:w="70" w:type="dxa"/>
            </w:tcMar>
            <w:vAlign w:val="top"/>
            <w:shd w:fill="F3F7F8"/>
          </w:tcPr>
          <w:p>
            <w:pPr>
              <w:spacing w:after="0"/>
            </w:pPr>
            <w:r>
              <w:rPr>
                <w:sz w:val="15"/>
              </w:rPr>
              <w:t>Pre-go-live tests</w:t>
            </w:r>
          </w:p>
        </w:tc>
        <w:tc>
          <w:tcPr>
            <w:tcW w:type="dxa" w:w="7776"/>
            <w:tcMar>
              <w:top w:w="55" w:type="dxa"/>
              <w:start w:w="70" w:type="dxa"/>
              <w:bottom w:w="55" w:type="dxa"/>
              <w:end w:w="70" w:type="dxa"/>
            </w:tcMar>
            <w:vAlign w:val="top"/>
            <w:shd w:fill="F3F7F8"/>
          </w:tcPr>
          <w:p>
            <w:pPr>
              <w:spacing w:after="0"/>
            </w:pPr>
            <w:r>
              <w:rPr>
                <w:sz w:val="15"/>
              </w:rPr>
              <w:t>Demonstrate both permitted and prohibited transmissions: eligible primary care; protected SUD; mixed; unreliable historical labels; medication and problem lists; linked orders/results/referrals/documents/attachments; consent exception lifecycle; and medical emergency documentation. Confirm demographics match without service-affiliation leakage.</w:t>
            </w:r>
          </w:p>
        </w:tc>
      </w:tr>
      <w:tr>
        <w:trPr>
          <w:cantSplit/>
        </w:trPr>
        <w:tc>
          <w:tcPr>
            <w:tcW w:type="dxa" w:w="2232"/>
            <w:tcMar>
              <w:top w:w="55" w:type="dxa"/>
              <w:start w:w="70" w:type="dxa"/>
              <w:bottom w:w="55" w:type="dxa"/>
              <w:end w:w="70" w:type="dxa"/>
            </w:tcMar>
            <w:vAlign w:val="top"/>
          </w:tcPr>
          <w:p>
            <w:pPr>
              <w:spacing w:after="0"/>
            </w:pPr>
            <w:r>
              <w:rPr>
                <w:sz w:val="15"/>
              </w:rPr>
              <w:t>Audit, monitoring &amp; containment</w:t>
            </w:r>
          </w:p>
        </w:tc>
        <w:tc>
          <w:tcPr>
            <w:tcW w:type="dxa" w:w="7776"/>
            <w:tcMar>
              <w:top w:w="55" w:type="dxa"/>
              <w:start w:w="70" w:type="dxa"/>
              <w:bottom w:w="55" w:type="dxa"/>
              <w:end w:w="70" w:type="dxa"/>
            </w:tcMar>
            <w:vAlign w:val="top"/>
          </w:tcPr>
          <w:p>
            <w:pPr>
              <w:spacing w:after="0"/>
            </w:pPr>
            <w:r>
              <w:rPr>
                <w:sz w:val="15"/>
              </w:rPr>
              <w:t>For every routine and exception release, retain rule/authority, actor, recipient, time, and data released. Review misclassification, unauthorized release, failed authorized release, and manual-exception workload. A failed segmentation test or suspected improper transmission triggers authority to suspend affected outbound routes, preserve evidence, investigate/notify under applicable process, remediate, retest, and resume only with approval.</w:t>
            </w:r>
          </w:p>
        </w:tc>
      </w:tr>
    </w:tbl>
    <w:p>
      <w:pPr>
        <w:spacing w:after="0"/>
      </w:pPr>
    </w:p>
    <w:p>
      <w:pPr>
        <w:pStyle w:val="Heading1"/>
      </w:pPr>
      <w:r>
        <w:t>Decision record</w:t>
      </w:r>
    </w:p>
    <w:p>
      <w:pPr/>
      <w:r>
        <w:t>Approve the recommended encounter-based configuration subject to the stated compliance validation, negative-disclosure testing, and containment authority. This choice preserves clinical continuity internally, enables eligible primary-care participation externally, and fails safely where classification or authority is uncertain.</w:t>
      </w:r>
    </w:p>
    <w:sectPr w:rsidR="00FC693F" w:rsidRPr="0006063C" w:rsidSect="00034616">
      <w:headerReference w:type="default" r:id="rId9"/>
      <w:footerReference w:type="default" r:id="rId10"/>
      <w:pgSz w:w="12240" w:h="15840"/>
      <w:pgMar w:top="605" w:right="749" w:bottom="605" w:left="749"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975"/>
        <w:sz w:val="14"/>
      </w:rPr>
      <w:t xml:space="preserve">Ivyhurst Studios • Exchange segmentation operating plan • Internal decision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9CB4BF"/>
      </w:pBdr>
    </w:pPr>
    <w:r>
      <w:rPr>
        <w:b/>
        <w:color w:val="526975"/>
        <w:sz w:val="14"/>
      </w:rPr>
      <w:t>PEATMOOR ANALYTICS  |  DECISION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16364A"/>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315E78"/>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1636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