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4E5F"/>
          <w:sz w:val="28"/>
        </w:rPr>
        <w:t>DECISION MEMORANDUM</w:t>
      </w:r>
    </w:p>
    <w:tbl>
      <w:tblPr>
        <w:tblW w:type="auto" w:w="0"/>
        <w:jc w:val="center"/>
        <w:tblLayout w:type="fixed"/>
        <w:tblLook w:firstColumn="1" w:firstRow="1" w:lastColumn="0" w:lastRow="0" w:noHBand="0" w:noVBand="1" w:val="04A0"/>
      </w:tblPr>
      <w:tblGrid>
        <w:gridCol w:w="2664"/>
        <w:gridCol w:w="2664"/>
        <w:gridCol w:w="2664"/>
        <w:gridCol w:w="2664"/>
      </w:tblGrid>
      <w:tr>
        <w:trPr>
          <w:trHeight w:val="317"/>
        </w:trPr>
        <w:tc>
          <w:tcPr>
            <w:tcW w:type="dxa" w:w="2664"/>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TO</w:t>
            </w:r>
          </w:p>
        </w:tc>
        <w:tc>
          <w:tcPr>
            <w:tcW w:type="dxa" w:w="2232"/>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FROM</w:t>
            </w:r>
          </w:p>
        </w:tc>
        <w:tc>
          <w:tcPr>
            <w:tcW w:type="dxa" w:w="1440"/>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DATE</w:t>
            </w:r>
          </w:p>
        </w:tc>
        <w:tc>
          <w:tcPr>
            <w:tcW w:type="dxa" w:w="3600"/>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SUBJECT</w:t>
            </w:r>
          </w:p>
        </w:tc>
      </w:tr>
      <w:tr>
        <w:trPr>
          <w:trHeight w:val="317"/>
        </w:trPr>
        <w:tc>
          <w:tcPr>
            <w:tcW w:type="dxa" w:w="2664"/>
            <w:vAlign w:val="center"/>
            <w:tcBorders>
              <w:top w:val="single" w:sz="4" w:color="B7C4CA"/>
              <w:left w:val="single" w:sz="4" w:color="B7C4CA"/>
              <w:bottom w:val="single" w:sz="4" w:color="B7C4CA"/>
              <w:right w:val="single" w:sz="4" w:color="B7C4CA"/>
            </w:tcBorders>
          </w:tcPr>
          <w:p>
            <w:pPr>
              <w:spacing w:after="0"/>
            </w:pPr>
            <w:r/>
            <w:r>
              <w:rPr>
                <w:b w:val="0"/>
                <w:sz w:val="15"/>
              </w:rPr>
              <w:t>Hollis Nakagawa, Division Counsel</w:t>
              <w:br/>
              <w:t>Heronbank Works, contracting stakeholder</w:t>
            </w:r>
          </w:p>
        </w:tc>
        <w:tc>
          <w:tcPr>
            <w:tcW w:type="dxa" w:w="2232"/>
            <w:vAlign w:val="center"/>
            <w:tcBorders>
              <w:top w:val="single" w:sz="4" w:color="B7C4CA"/>
              <w:left w:val="single" w:sz="4" w:color="B7C4CA"/>
              <w:bottom w:val="single" w:sz="4" w:color="B7C4CA"/>
              <w:right w:val="single" w:sz="4" w:color="B7C4CA"/>
            </w:tcBorders>
          </w:tcPr>
          <w:p>
            <w:pPr>
              <w:spacing w:after="0"/>
            </w:pPr>
            <w:r/>
            <w:r>
              <w:rPr>
                <w:b w:val="0"/>
                <w:sz w:val="15"/>
              </w:rPr>
              <w:t>Sgt. Ottilie Vanterpool</w:t>
              <w:br/>
              <w:t>District 3 Evidence Operations</w:t>
            </w:r>
          </w:p>
        </w:tc>
        <w:tc>
          <w:tcPr>
            <w:tcW w:type="dxa" w:w="1440"/>
            <w:vAlign w:val="center"/>
            <w:tcBorders>
              <w:top w:val="single" w:sz="4" w:color="B7C4CA"/>
              <w:left w:val="single" w:sz="4" w:color="B7C4CA"/>
              <w:bottom w:val="single" w:sz="4" w:color="B7C4CA"/>
              <w:right w:val="single" w:sz="4" w:color="B7C4CA"/>
            </w:tcBorders>
          </w:tcPr>
          <w:p>
            <w:pPr>
              <w:spacing w:after="0"/>
            </w:pPr>
            <w:r/>
            <w:r>
              <w:rPr>
                <w:b w:val="0"/>
                <w:sz w:val="15"/>
              </w:rPr>
              <w:t>24 August 2026</w:t>
            </w:r>
          </w:p>
        </w:tc>
        <w:tc>
          <w:tcPr>
            <w:tcW w:type="dxa" w:w="3600"/>
            <w:vAlign w:val="center"/>
            <w:tcBorders>
              <w:top w:val="single" w:sz="4" w:color="B7C4CA"/>
              <w:left w:val="single" w:sz="4" w:color="B7C4CA"/>
              <w:bottom w:val="single" w:sz="4" w:color="B7C4CA"/>
              <w:right w:val="single" w:sz="4" w:color="B7C4CA"/>
            </w:tcBorders>
          </w:tcPr>
          <w:p>
            <w:pPr>
              <w:spacing w:after="0"/>
            </w:pPr>
            <w:r/>
            <w:r>
              <w:rPr>
                <w:b w:val="0"/>
                <w:sz w:val="15"/>
              </w:rPr>
              <w:t>District 3 frozen tissue and DNA storage configuration</w:t>
            </w:r>
          </w:p>
        </w:tc>
      </w:tr>
    </w:tbl>
    <w:p>
      <w:pPr>
        <w:spacing w:after="20"/>
      </w:pPr>
    </w:p>
    <w:p>
      <w:pPr>
        <w:spacing w:before="100" w:after="40"/>
      </w:pPr>
      <w:r>
        <w:rPr>
          <w:b/>
          <w:color w:val="1F4E5F"/>
          <w:sz w:val="18"/>
        </w:rPr>
        <w:t>1. DECISION AND SCOPE</w:t>
      </w:r>
    </w:p>
    <w:p>
      <w:pPr>
        <w:spacing w:after="40" w:line="247" w:lineRule="auto"/>
      </w:pPr>
      <w:r>
        <w:t>Approve one on-site permanent configuration: a conditioned evidence room containing two independently powered, lockable upright -80 C freezers, each fitted with a local audible/visual alarm, continuous temperature logger, and battery-backed communications gateway. Allocate locked, clearly labeled racks within both cabinets to FEDERAL-CHARGED and STATE-CASE evidence; no rack, box, or inventory record may serve both categories. The planning total is $164,000, including contingency, below the $180,000 capital cap.</w:t>
      </w:r>
    </w:p>
    <w:p>
      <w:pPr>
        <w:spacing w:after="40" w:line="247" w:lineRule="auto"/>
      </w:pPr>
      <w:r>
        <w:t>This memorandum deliberately treats the request as a permanent on-site build with a controlled bridge to it. It does not choose a temporary arrangement as the end state. The state laboratory will stop accepting long-term frozen storage on 1 December; continued reliance on its acceptance is therefore not a continuity plan. The 1974 field station also leaves the current evidence exposed to aging power, limited panel capacity, an unverified existing slab, and winter loss of the monitoring link.</w:t>
      </w:r>
    </w:p>
    <w:p>
      <w:pPr>
        <w:spacing w:before="100" w:after="40"/>
      </w:pPr>
      <w:r>
        <w:rPr>
          <w:b/>
          <w:color w:val="1F4E5F"/>
          <w:sz w:val="18"/>
        </w:rPr>
        <w:t>2. BUILDABLE CONFIGURATION AND OPERATING CONTROLS</w:t>
      </w:r>
    </w:p>
    <w:p>
      <w:pPr>
        <w:spacing w:after="40" w:line="247" w:lineRule="auto"/>
      </w:pPr>
      <w:r>
        <w:t>Install the two uprights in the existing former records room after a limited slab verification and, only if indicated, localized spreader plates/anchorage. This avoids a walk-in freezer’s concentrated load and large refrigeration start-up demand. Provide two dedicated 208/240-V circuits from the existing panel after field load measurement; specify staggered compressor restart and a listed load-management relay. The bridge is a 10-kW propane standby generator serving only the two freezer circuits, room lighting, gateway, and one receptacle. It is not a whole-station generator.</w:t>
      </w:r>
    </w:p>
    <w:p>
      <w:pPr>
        <w:spacing w:after="40" w:line="247" w:lineRule="auto"/>
      </w:pPr>
      <w:r>
        <w:t>Planning environmental acceptance is -80 C operating setpoint, with each logger recording at least every 15 minutes. A warning is investigated at -70 C and an excursion response begins at -65 C or after any loss of logged data. These are design/operating assumptions for preservation planning, not a universal evidence or laboratory requirement. The room has a key-controlled door; each freezer has a separate mechanical key and electronic access log.</w:t>
      </w:r>
    </w:p>
    <w:p>
      <w:pPr>
        <w:spacing w:after="40" w:line="247" w:lineRule="auto"/>
      </w:pPr>
      <w:r>
        <w:t>The designated Evidence Custodian alone holds normal keys and access authority. Every access record captures identity, purpose, time in/out, case/sample identifiers, cabinet/rack, and any movement. The custodian maintains a durable outer label and inventory location code: jurisdiction/case category, case number, item/sample number, freezer, rack, box, and retention-review flag. A supervisor may authorize one-time emergency access by a named alternate; the alternate signs the access and reconciliation record, and the custodian reviews it on return. There is no standing group keyholder list.</w:t>
      </w:r>
    </w:p>
    <w:p>
      <w:pPr>
        <w:spacing w:after="40" w:line="247" w:lineRule="auto"/>
      </w:pPr>
      <w:r>
        <w:t>Federal-charged and state-case samples remain physically segregated by dedicated labeled racks and administratively segregated by category, case status, and review flag. Storage location does not decide retention. The custodian conducts a quarterly status review and an event review when charging, court, appeal, or case-status information changes; counsel/case authority confirms any retention consequence. No sample is released, disposed of, or moved out of controlled storage on an inventory review alone.</w:t>
      </w:r>
    </w:p>
    <w:p>
      <w:pPr>
        <w:spacing w:before="100" w:after="40"/>
      </w:pPr>
      <w:r>
        <w:rPr>
          <w:b/>
          <w:color w:val="1F4E5F"/>
          <w:sz w:val="18"/>
        </w:rPr>
        <w:t>3. SERIOUS ALTERNATIVES CONSIDERED</w:t>
      </w:r>
    </w:p>
    <w:tbl>
      <w:tblPr>
        <w:tblW w:type="auto" w:w="0"/>
        <w:jc w:val="center"/>
        <w:tblLayout w:type="fixed"/>
        <w:tblLook w:firstColumn="1" w:firstRow="1" w:lastColumn="0" w:lastRow="0" w:noHBand="0" w:noVBand="1" w:val="04A0"/>
      </w:tblPr>
      <w:tblGrid>
        <w:gridCol w:w="2664"/>
        <w:gridCol w:w="2664"/>
        <w:gridCol w:w="2664"/>
        <w:gridCol w:w="2664"/>
      </w:tblGrid>
      <w:tr>
        <w:trPr>
          <w:trHeight w:val="317"/>
        </w:trPr>
        <w:tc>
          <w:tcPr>
            <w:tcW w:type="dxa" w:w="2016"/>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Configuration</w:t>
            </w:r>
          </w:p>
        </w:tc>
        <w:tc>
          <w:tcPr>
            <w:tcW w:type="dxa" w:w="2232"/>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Planning cost / physical fit</w:t>
            </w:r>
          </w:p>
        </w:tc>
        <w:tc>
          <w:tcPr>
            <w:tcW w:type="dxa" w:w="2952"/>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Custody, alarm, retention consequence</w:t>
            </w:r>
          </w:p>
        </w:tc>
        <w:tc>
          <w:tcPr>
            <w:tcW w:type="dxa" w:w="2880"/>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Why set aside</w:t>
            </w:r>
          </w:p>
        </w:tc>
      </w:tr>
      <w:tr>
        <w:trPr>
          <w:trHeight w:val="317"/>
        </w:trPr>
        <w:tc>
          <w:tcPr>
            <w:tcW w:type="dxa" w:w="2016"/>
            <w:vAlign w:val="center"/>
            <w:tcBorders>
              <w:top w:val="single" w:sz="4" w:color="B7C4CA"/>
              <w:left w:val="single" w:sz="4" w:color="B7C4CA"/>
              <w:bottom w:val="single" w:sz="4" w:color="B7C4CA"/>
              <w:right w:val="single" w:sz="4" w:color="B7C4CA"/>
            </w:tcBorders>
          </w:tcPr>
          <w:p>
            <w:pPr>
              <w:spacing w:after="0"/>
            </w:pPr>
            <w:r/>
            <w:r>
              <w:rPr>
                <w:b w:val="0"/>
                <w:sz w:val="15"/>
              </w:rPr>
              <w:t>A. Recommended: two -80 C uprights + conditioned room + limited standby</w:t>
            </w:r>
          </w:p>
        </w:tc>
        <w:tc>
          <w:tcPr>
            <w:tcW w:type="dxa" w:w="2232"/>
            <w:vAlign w:val="center"/>
            <w:tcBorders>
              <w:top w:val="single" w:sz="4" w:color="B7C4CA"/>
              <w:left w:val="single" w:sz="4" w:color="B7C4CA"/>
              <w:bottom w:val="single" w:sz="4" w:color="B7C4CA"/>
              <w:right w:val="single" w:sz="4" w:color="B7C4CA"/>
            </w:tcBorders>
          </w:tcPr>
          <w:p>
            <w:pPr>
              <w:spacing w:after="0"/>
            </w:pPr>
            <w:r/>
            <w:r>
              <w:rPr>
                <w:b w:val="0"/>
                <w:sz w:val="15"/>
              </w:rPr>
              <w:t xml:space="preserve"> $164k; two dedicated circuits after load test; slab verification/local remedy included.</w:t>
            </w:r>
          </w:p>
        </w:tc>
        <w:tc>
          <w:tcPr>
            <w:tcW w:type="dxa" w:w="2952"/>
            <w:vAlign w:val="center"/>
            <w:tcBorders>
              <w:top w:val="single" w:sz="4" w:color="B7C4CA"/>
              <w:left w:val="single" w:sz="4" w:color="B7C4CA"/>
              <w:bottom w:val="single" w:sz="4" w:color="B7C4CA"/>
              <w:right w:val="single" w:sz="4" w:color="B7C4CA"/>
            </w:tcBorders>
          </w:tcPr>
          <w:p>
            <w:pPr>
              <w:spacing w:after="0"/>
            </w:pPr>
            <w:r/>
            <w:r>
              <w:rPr>
                <w:b w:val="0"/>
                <w:sz w:val="15"/>
              </w:rPr>
              <w:t>Independent cabinets limit a single failure; rack segregation; local alarm and logged degraded mode.</w:t>
            </w:r>
          </w:p>
        </w:tc>
        <w:tc>
          <w:tcPr>
            <w:tcW w:type="dxa" w:w="2880"/>
            <w:vAlign w:val="center"/>
            <w:tcBorders>
              <w:top w:val="single" w:sz="4" w:color="B7C4CA"/>
              <w:left w:val="single" w:sz="4" w:color="B7C4CA"/>
              <w:bottom w:val="single" w:sz="4" w:color="B7C4CA"/>
              <w:right w:val="single" w:sz="4" w:color="B7C4CA"/>
            </w:tcBorders>
          </w:tcPr>
          <w:p>
            <w:pPr>
              <w:spacing w:after="0"/>
            </w:pPr>
            <w:r/>
            <w:r>
              <w:rPr>
                <w:b w:val="0"/>
                <w:sz w:val="15"/>
              </w:rPr>
              <w:t>Best combined fit under cap and on the 1974 station.</w:t>
            </w:r>
          </w:p>
        </w:tc>
      </w:tr>
      <w:tr>
        <w:trPr>
          <w:trHeight w:val="317"/>
        </w:trPr>
        <w:tc>
          <w:tcPr>
            <w:tcW w:type="dxa" w:w="2016"/>
            <w:vAlign w:val="center"/>
            <w:tcBorders>
              <w:top w:val="single" w:sz="4" w:color="B7C4CA"/>
              <w:left w:val="single" w:sz="4" w:color="B7C4CA"/>
              <w:bottom w:val="single" w:sz="4" w:color="B7C4CA"/>
              <w:right w:val="single" w:sz="4" w:color="B7C4CA"/>
            </w:tcBorders>
          </w:tcPr>
          <w:p>
            <w:pPr>
              <w:spacing w:after="0"/>
            </w:pPr>
            <w:r/>
            <w:r>
              <w:rPr>
                <w:b w:val="0"/>
                <w:sz w:val="15"/>
              </w:rPr>
              <w:t>B. Single large walk-in -80 C room + standby</w:t>
            </w:r>
          </w:p>
        </w:tc>
        <w:tc>
          <w:tcPr>
            <w:tcW w:type="dxa" w:w="2232"/>
            <w:vAlign w:val="center"/>
            <w:tcBorders>
              <w:top w:val="single" w:sz="4" w:color="B7C4CA"/>
              <w:left w:val="single" w:sz="4" w:color="B7C4CA"/>
              <w:bottom w:val="single" w:sz="4" w:color="B7C4CA"/>
              <w:right w:val="single" w:sz="4" w:color="B7C4CA"/>
            </w:tcBorders>
          </w:tcPr>
          <w:p>
            <w:pPr>
              <w:spacing w:after="0"/>
            </w:pPr>
            <w:r/>
            <w:r>
              <w:rPr>
                <w:b w:val="0"/>
                <w:sz w:val="15"/>
              </w:rPr>
              <w:t xml:space="preserve"> $176k; technically feasible only with added structural/electrical confirmation.</w:t>
            </w:r>
          </w:p>
        </w:tc>
        <w:tc>
          <w:tcPr>
            <w:tcW w:type="dxa" w:w="2952"/>
            <w:vAlign w:val="center"/>
            <w:tcBorders>
              <w:top w:val="single" w:sz="4" w:color="B7C4CA"/>
              <w:left w:val="single" w:sz="4" w:color="B7C4CA"/>
              <w:bottom w:val="single" w:sz="4" w:color="B7C4CA"/>
              <w:right w:val="single" w:sz="4" w:color="B7C4CA"/>
            </w:tcBorders>
          </w:tcPr>
          <w:p>
            <w:pPr>
              <w:spacing w:after="0"/>
            </w:pPr>
            <w:r/>
            <w:r>
              <w:rPr>
                <w:b w:val="0"/>
                <w:sz w:val="15"/>
              </w:rPr>
              <w:t>One enclosure complicates isolated failure response; partitions can segregate categories.</w:t>
            </w:r>
          </w:p>
        </w:tc>
        <w:tc>
          <w:tcPr>
            <w:tcW w:type="dxa" w:w="2880"/>
            <w:vAlign w:val="center"/>
            <w:tcBorders>
              <w:top w:val="single" w:sz="4" w:color="B7C4CA"/>
              <w:left w:val="single" w:sz="4" w:color="B7C4CA"/>
              <w:bottom w:val="single" w:sz="4" w:color="B7C4CA"/>
              <w:right w:val="single" w:sz="4" w:color="B7C4CA"/>
            </w:tcBorders>
          </w:tcPr>
          <w:p>
            <w:pPr>
              <w:spacing w:after="0"/>
            </w:pPr>
            <w:r/>
            <w:r>
              <w:rPr>
                <w:b w:val="0"/>
                <w:sz w:val="15"/>
              </w:rPr>
              <w:t>Higher capacity/resilience is desirable, but little cap headroom and concentrated load/start-up risk.</w:t>
            </w:r>
          </w:p>
        </w:tc>
      </w:tr>
      <w:tr>
        <w:trPr>
          <w:trHeight w:val="317"/>
        </w:trPr>
        <w:tc>
          <w:tcPr>
            <w:tcW w:type="dxa" w:w="2016"/>
            <w:vAlign w:val="center"/>
            <w:tcBorders>
              <w:top w:val="single" w:sz="4" w:color="B7C4CA"/>
              <w:left w:val="single" w:sz="4" w:color="B7C4CA"/>
              <w:bottom w:val="single" w:sz="4" w:color="B7C4CA"/>
              <w:right w:val="single" w:sz="4" w:color="B7C4CA"/>
            </w:tcBorders>
          </w:tcPr>
          <w:p>
            <w:pPr>
              <w:spacing w:after="0"/>
            </w:pPr>
            <w:r/>
            <w:r>
              <w:rPr>
                <w:b w:val="0"/>
                <w:sz w:val="15"/>
              </w:rPr>
              <w:t>C. Three compact -80 C uprights, no room conditioning</w:t>
            </w:r>
          </w:p>
        </w:tc>
        <w:tc>
          <w:tcPr>
            <w:tcW w:type="dxa" w:w="2232"/>
            <w:vAlign w:val="center"/>
            <w:tcBorders>
              <w:top w:val="single" w:sz="4" w:color="B7C4CA"/>
              <w:left w:val="single" w:sz="4" w:color="B7C4CA"/>
              <w:bottom w:val="single" w:sz="4" w:color="B7C4CA"/>
              <w:right w:val="single" w:sz="4" w:color="B7C4CA"/>
            </w:tcBorders>
          </w:tcPr>
          <w:p>
            <w:pPr>
              <w:spacing w:after="0"/>
            </w:pPr>
            <w:r/>
            <w:r>
              <w:rPr>
                <w:b w:val="0"/>
                <w:sz w:val="15"/>
              </w:rPr>
              <w:t xml:space="preserve"> $132k; lower slab/electrical burden; circuits still require field confirmation.</w:t>
            </w:r>
          </w:p>
        </w:tc>
        <w:tc>
          <w:tcPr>
            <w:tcW w:type="dxa" w:w="2952"/>
            <w:vAlign w:val="center"/>
            <w:tcBorders>
              <w:top w:val="single" w:sz="4" w:color="B7C4CA"/>
              <w:left w:val="single" w:sz="4" w:color="B7C4CA"/>
              <w:bottom w:val="single" w:sz="4" w:color="B7C4CA"/>
              <w:right w:val="single" w:sz="4" w:color="B7C4CA"/>
            </w:tcBorders>
          </w:tcPr>
          <w:p>
            <w:pPr>
              <w:spacing w:after="0"/>
            </w:pPr>
            <w:r/>
            <w:r>
              <w:rPr>
                <w:b w:val="0"/>
                <w:sz w:val="15"/>
              </w:rPr>
              <w:t>More cabinet redundancy, but exposed room conditions and tighter custody/segregation space; same link issue.</w:t>
            </w:r>
          </w:p>
        </w:tc>
        <w:tc>
          <w:tcPr>
            <w:tcW w:type="dxa" w:w="2880"/>
            <w:vAlign w:val="center"/>
            <w:tcBorders>
              <w:top w:val="single" w:sz="4" w:color="B7C4CA"/>
              <w:left w:val="single" w:sz="4" w:color="B7C4CA"/>
              <w:bottom w:val="single" w:sz="4" w:color="B7C4CA"/>
              <w:right w:val="single" w:sz="4" w:color="B7C4CA"/>
            </w:tcBorders>
          </w:tcPr>
          <w:p>
            <w:pPr>
              <w:spacing w:after="0"/>
            </w:pPr>
            <w:r/>
            <w:r>
              <w:rPr>
                <w:b w:val="0"/>
                <w:sz w:val="15"/>
              </w:rPr>
              <w:t>Lower-cost option set aside because the aging room is a greater environmental and access-control risk.</w:t>
            </w:r>
          </w:p>
        </w:tc>
      </w:tr>
      <w:tr>
        <w:trPr>
          <w:trHeight w:val="317"/>
        </w:trPr>
        <w:tc>
          <w:tcPr>
            <w:tcW w:type="dxa" w:w="2016"/>
            <w:vAlign w:val="center"/>
            <w:tcBorders>
              <w:top w:val="single" w:sz="4" w:color="B7C4CA"/>
              <w:left w:val="single" w:sz="4" w:color="B7C4CA"/>
              <w:bottom w:val="single" w:sz="4" w:color="B7C4CA"/>
              <w:right w:val="single" w:sz="4" w:color="B7C4CA"/>
            </w:tcBorders>
          </w:tcPr>
          <w:p>
            <w:pPr>
              <w:spacing w:after="0"/>
            </w:pPr>
            <w:r/>
            <w:r>
              <w:rPr>
                <w:b w:val="0"/>
                <w:sz w:val="15"/>
              </w:rPr>
              <w:t>D. Hosted off-site frozen storage with transport controls</w:t>
            </w:r>
          </w:p>
        </w:tc>
        <w:tc>
          <w:tcPr>
            <w:tcW w:type="dxa" w:w="2232"/>
            <w:vAlign w:val="center"/>
            <w:tcBorders>
              <w:top w:val="single" w:sz="4" w:color="B7C4CA"/>
              <w:left w:val="single" w:sz="4" w:color="B7C4CA"/>
              <w:bottom w:val="single" w:sz="4" w:color="B7C4CA"/>
              <w:right w:val="single" w:sz="4" w:color="B7C4CA"/>
            </w:tcBorders>
          </w:tcPr>
          <w:p>
            <w:pPr>
              <w:spacing w:after="0"/>
            </w:pPr>
            <w:r/>
            <w:r>
              <w:rPr>
                <w:b w:val="0"/>
                <w:sz w:val="15"/>
              </w:rPr>
              <w:t xml:space="preserve"> $148k first-year planning allowance; avoids station slab/panel work.</w:t>
            </w:r>
          </w:p>
        </w:tc>
        <w:tc>
          <w:tcPr>
            <w:tcW w:type="dxa" w:w="2952"/>
            <w:vAlign w:val="center"/>
            <w:tcBorders>
              <w:top w:val="single" w:sz="4" w:color="B7C4CA"/>
              <w:left w:val="single" w:sz="4" w:color="B7C4CA"/>
              <w:bottom w:val="single" w:sz="4" w:color="B7C4CA"/>
              <w:right w:val="single" w:sz="4" w:color="B7C4CA"/>
            </w:tcBorders>
          </w:tcPr>
          <w:p>
            <w:pPr>
              <w:spacing w:after="0"/>
            </w:pPr>
            <w:r/>
            <w:r>
              <w:rPr>
                <w:b w:val="0"/>
                <w:sz w:val="15"/>
              </w:rPr>
              <w:t>Can segregate inventory, but transfer custody, retrieval delay, host access, and retention coordination add risk.</w:t>
            </w:r>
          </w:p>
        </w:tc>
        <w:tc>
          <w:tcPr>
            <w:tcW w:type="dxa" w:w="2880"/>
            <w:vAlign w:val="center"/>
            <w:tcBorders>
              <w:top w:val="single" w:sz="4" w:color="B7C4CA"/>
              <w:left w:val="single" w:sz="4" w:color="B7C4CA"/>
              <w:bottom w:val="single" w:sz="4" w:color="B7C4CA"/>
              <w:right w:val="single" w:sz="4" w:color="B7C4CA"/>
            </w:tcBorders>
          </w:tcPr>
          <w:p>
            <w:pPr>
              <w:spacing w:after="0"/>
            </w:pPr>
            <w:r/>
            <w:r>
              <w:rPr>
                <w:b w:val="0"/>
                <w:sz w:val="15"/>
              </w:rPr>
              <w:t>Not selected before 1 December absent a documented host acceptance and custody agreement.</w:t>
            </w:r>
          </w:p>
        </w:tc>
      </w:tr>
      <w:tr>
        <w:trPr>
          <w:trHeight w:val="317"/>
        </w:trPr>
        <w:tc>
          <w:tcPr>
            <w:tcW w:type="dxa" w:w="2016"/>
            <w:vAlign w:val="center"/>
            <w:tcBorders>
              <w:top w:val="single" w:sz="4" w:color="B7C4CA"/>
              <w:left w:val="single" w:sz="4" w:color="B7C4CA"/>
              <w:bottom w:val="single" w:sz="4" w:color="B7C4CA"/>
              <w:right w:val="single" w:sz="4" w:color="B7C4CA"/>
            </w:tcBorders>
          </w:tcPr>
          <w:p>
            <w:pPr>
              <w:spacing w:after="0"/>
            </w:pPr>
            <w:r/>
            <w:r>
              <w:rPr>
                <w:b w:val="0"/>
                <w:sz w:val="15"/>
              </w:rPr>
              <w:t>E. Lease temporary portable freezer module + later permanent build</w:t>
            </w:r>
          </w:p>
        </w:tc>
        <w:tc>
          <w:tcPr>
            <w:tcW w:type="dxa" w:w="2232"/>
            <w:vAlign w:val="center"/>
            <w:tcBorders>
              <w:top w:val="single" w:sz="4" w:color="B7C4CA"/>
              <w:left w:val="single" w:sz="4" w:color="B7C4CA"/>
              <w:bottom w:val="single" w:sz="4" w:color="B7C4CA"/>
              <w:right w:val="single" w:sz="4" w:color="B7C4CA"/>
            </w:tcBorders>
          </w:tcPr>
          <w:p>
            <w:pPr>
              <w:spacing w:after="0"/>
            </w:pPr>
            <w:r/>
            <w:r>
              <w:rPr>
                <w:b w:val="0"/>
                <w:sz w:val="15"/>
              </w:rPr>
              <w:t xml:space="preserve"> $158k near-term bridge only; external power feed/site pad needed.</w:t>
            </w:r>
          </w:p>
        </w:tc>
        <w:tc>
          <w:tcPr>
            <w:tcW w:type="dxa" w:w="2952"/>
            <w:vAlign w:val="center"/>
            <w:tcBorders>
              <w:top w:val="single" w:sz="4" w:color="B7C4CA"/>
              <w:left w:val="single" w:sz="4" w:color="B7C4CA"/>
              <w:bottom w:val="single" w:sz="4" w:color="B7C4CA"/>
              <w:right w:val="single" w:sz="4" w:color="B7C4CA"/>
            </w:tcBorders>
          </w:tcPr>
          <w:p>
            <w:pPr>
              <w:spacing w:after="0"/>
            </w:pPr>
            <w:r/>
            <w:r>
              <w:rPr>
                <w:b w:val="0"/>
                <w:sz w:val="15"/>
              </w:rPr>
              <w:t>Can hold categories separately, but is a temporary operational arrangement with weather/transport exposure.</w:t>
            </w:r>
          </w:p>
        </w:tc>
        <w:tc>
          <w:tcPr>
            <w:tcW w:type="dxa" w:w="2880"/>
            <w:vAlign w:val="center"/>
            <w:tcBorders>
              <w:top w:val="single" w:sz="4" w:color="B7C4CA"/>
              <w:left w:val="single" w:sz="4" w:color="B7C4CA"/>
              <w:bottom w:val="single" w:sz="4" w:color="B7C4CA"/>
              <w:right w:val="single" w:sz="4" w:color="B7C4CA"/>
            </w:tcBorders>
          </w:tcPr>
          <w:p>
            <w:pPr>
              <w:spacing w:after="0"/>
            </w:pPr>
            <w:r/>
            <w:r>
              <w:rPr>
                <w:b w:val="0"/>
                <w:sz w:val="15"/>
              </w:rPr>
              <w:t>Useful contingency, not the selected end state; does not resolve permanent station controls.</w:t>
            </w:r>
          </w:p>
        </w:tc>
      </w:tr>
    </w:tbl>
    <w:p>
      <w:pPr>
        <w:spacing w:after="20"/>
      </w:pPr>
    </w:p>
    <w:p>
      <w:pPr>
        <w:spacing w:after="40" w:line="247" w:lineRule="auto"/>
      </w:pPr>
      <w:r>
        <w:t>All five configurations are technically plausible planning concepts, not bids. B and C are workable only after the same field checks; “feasible” does not make either the best capital decision. D becomes preferable only if a qualified host can document acceptance, custody terms, retrieval rights, and category-specific retention controls in time; none is assumed here.</w:t>
      </w:r>
    </w:p>
    <w:p>
      <w:pPr>
        <w:spacing w:before="100" w:after="40"/>
      </w:pPr>
      <w:r>
        <w:rPr>
          <w:b/>
          <w:color w:val="1F4E5F"/>
          <w:sz w:val="18"/>
        </w:rPr>
        <w:t>4. ORDER-OF-MAGNITUDE COST MODEL</w:t>
      </w:r>
    </w:p>
    <w:tbl>
      <w:tblPr>
        <w:tblW w:type="auto" w:w="0"/>
        <w:jc w:val="center"/>
        <w:tblLayout w:type="fixed"/>
        <w:tblLook w:firstColumn="1" w:firstRow="1" w:lastColumn="0" w:lastRow="0" w:noHBand="0" w:noVBand="1" w:val="04A0"/>
      </w:tblPr>
      <w:tblGrid>
        <w:gridCol w:w="5328"/>
        <w:gridCol w:w="5328"/>
      </w:tblGrid>
      <w:tr>
        <w:trPr>
          <w:trHeight w:val="317"/>
        </w:trPr>
        <w:tc>
          <w:tcPr>
            <w:tcW w:type="dxa" w:w="7560"/>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Scope component</w:t>
            </w:r>
          </w:p>
        </w:tc>
        <w:tc>
          <w:tcPr>
            <w:tcW w:type="dxa" w:w="2520"/>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Planning estimate</w:t>
            </w:r>
          </w:p>
        </w:tc>
      </w:tr>
      <w:tr>
        <w:trPr>
          <w:trHeight w:val="317"/>
        </w:trPr>
        <w:tc>
          <w:tcPr>
            <w:tcW w:type="dxa" w:w="7560"/>
            <w:vAlign w:val="center"/>
            <w:tcBorders>
              <w:top w:val="single" w:sz="4" w:color="B7C4CA"/>
              <w:left w:val="single" w:sz="4" w:color="B7C4CA"/>
              <w:bottom w:val="single" w:sz="4" w:color="B7C4CA"/>
              <w:right w:val="single" w:sz="4" w:color="B7C4CA"/>
            </w:tcBorders>
          </w:tcPr>
          <w:p>
            <w:pPr>
              <w:spacing w:after="0"/>
            </w:pPr>
            <w:r/>
            <w:r>
              <w:rPr>
                <w:b w:val="0"/>
                <w:sz w:val="15"/>
              </w:rPr>
              <w:t>Two lockable -80 C upright freezers; internal racks</w:t>
            </w:r>
          </w:p>
        </w:tc>
        <w:tc>
          <w:tcPr>
            <w:tcW w:type="dxa" w:w="2520"/>
            <w:vAlign w:val="center"/>
            <w:tcBorders>
              <w:top w:val="single" w:sz="4" w:color="B7C4CA"/>
              <w:left w:val="single" w:sz="4" w:color="B7C4CA"/>
              <w:bottom w:val="single" w:sz="4" w:color="B7C4CA"/>
              <w:right w:val="single" w:sz="4" w:color="B7C4CA"/>
            </w:tcBorders>
          </w:tcPr>
          <w:p>
            <w:pPr>
              <w:spacing w:after="0"/>
            </w:pPr>
            <w:r/>
            <w:r>
              <w:rPr>
                <w:b w:val="0"/>
                <w:sz w:val="15"/>
              </w:rPr>
              <w:t xml:space="preserve"> $48,000</w:t>
            </w:r>
          </w:p>
        </w:tc>
      </w:tr>
      <w:tr>
        <w:trPr>
          <w:trHeight w:val="317"/>
        </w:trPr>
        <w:tc>
          <w:tcPr>
            <w:tcW w:type="dxa" w:w="7560"/>
            <w:vAlign w:val="center"/>
            <w:tcBorders>
              <w:top w:val="single" w:sz="4" w:color="B7C4CA"/>
              <w:left w:val="single" w:sz="4" w:color="B7C4CA"/>
              <w:bottom w:val="single" w:sz="4" w:color="B7C4CA"/>
              <w:right w:val="single" w:sz="4" w:color="B7C4CA"/>
            </w:tcBorders>
          </w:tcPr>
          <w:p>
            <w:pPr>
              <w:spacing w:after="0"/>
            </w:pPr>
            <w:r/>
            <w:r>
              <w:rPr>
                <w:b w:val="0"/>
                <w:sz w:val="15"/>
              </w:rPr>
              <w:t>Conditioned-room work, door, access hardware, signage</w:t>
            </w:r>
          </w:p>
        </w:tc>
        <w:tc>
          <w:tcPr>
            <w:tcW w:type="dxa" w:w="2520"/>
            <w:vAlign w:val="center"/>
            <w:tcBorders>
              <w:top w:val="single" w:sz="4" w:color="B7C4CA"/>
              <w:left w:val="single" w:sz="4" w:color="B7C4CA"/>
              <w:bottom w:val="single" w:sz="4" w:color="B7C4CA"/>
              <w:right w:val="single" w:sz="4" w:color="B7C4CA"/>
            </w:tcBorders>
          </w:tcPr>
          <w:p>
            <w:pPr>
              <w:spacing w:after="0"/>
            </w:pPr>
            <w:r/>
            <w:r>
              <w:rPr>
                <w:b w:val="0"/>
                <w:sz w:val="15"/>
              </w:rPr>
              <w:t xml:space="preserve"> $24,000</w:t>
            </w:r>
          </w:p>
        </w:tc>
      </w:tr>
      <w:tr>
        <w:trPr>
          <w:trHeight w:val="317"/>
        </w:trPr>
        <w:tc>
          <w:tcPr>
            <w:tcW w:type="dxa" w:w="7560"/>
            <w:vAlign w:val="center"/>
            <w:tcBorders>
              <w:top w:val="single" w:sz="4" w:color="B7C4CA"/>
              <w:left w:val="single" w:sz="4" w:color="B7C4CA"/>
              <w:bottom w:val="single" w:sz="4" w:color="B7C4CA"/>
              <w:right w:val="single" w:sz="4" w:color="B7C4CA"/>
            </w:tcBorders>
          </w:tcPr>
          <w:p>
            <w:pPr>
              <w:spacing w:after="0"/>
            </w:pPr>
            <w:r/>
            <w:r>
              <w:rPr>
                <w:b w:val="0"/>
                <w:sz w:val="15"/>
              </w:rPr>
              <w:t>Dedicated circuits, load relay, disconnects, commissioning</w:t>
            </w:r>
          </w:p>
        </w:tc>
        <w:tc>
          <w:tcPr>
            <w:tcW w:type="dxa" w:w="2520"/>
            <w:vAlign w:val="center"/>
            <w:tcBorders>
              <w:top w:val="single" w:sz="4" w:color="B7C4CA"/>
              <w:left w:val="single" w:sz="4" w:color="B7C4CA"/>
              <w:bottom w:val="single" w:sz="4" w:color="B7C4CA"/>
              <w:right w:val="single" w:sz="4" w:color="B7C4CA"/>
            </w:tcBorders>
          </w:tcPr>
          <w:p>
            <w:pPr>
              <w:spacing w:after="0"/>
            </w:pPr>
            <w:r/>
            <w:r>
              <w:rPr>
                <w:b w:val="0"/>
                <w:sz w:val="15"/>
              </w:rPr>
              <w:t xml:space="preserve"> $18,000</w:t>
            </w:r>
          </w:p>
        </w:tc>
      </w:tr>
      <w:tr>
        <w:trPr>
          <w:trHeight w:val="317"/>
        </w:trPr>
        <w:tc>
          <w:tcPr>
            <w:tcW w:type="dxa" w:w="7560"/>
            <w:vAlign w:val="center"/>
            <w:tcBorders>
              <w:top w:val="single" w:sz="4" w:color="B7C4CA"/>
              <w:left w:val="single" w:sz="4" w:color="B7C4CA"/>
              <w:bottom w:val="single" w:sz="4" w:color="B7C4CA"/>
              <w:right w:val="single" w:sz="4" w:color="B7C4CA"/>
            </w:tcBorders>
          </w:tcPr>
          <w:p>
            <w:pPr>
              <w:spacing w:after="0"/>
            </w:pPr>
            <w:r/>
            <w:r>
              <w:rPr>
                <w:b w:val="0"/>
                <w:sz w:val="15"/>
              </w:rPr>
              <w:t>Slab verification; allowance for local spreader plates/anchorage</w:t>
            </w:r>
          </w:p>
        </w:tc>
        <w:tc>
          <w:tcPr>
            <w:tcW w:type="dxa" w:w="2520"/>
            <w:vAlign w:val="center"/>
            <w:tcBorders>
              <w:top w:val="single" w:sz="4" w:color="B7C4CA"/>
              <w:left w:val="single" w:sz="4" w:color="B7C4CA"/>
              <w:bottom w:val="single" w:sz="4" w:color="B7C4CA"/>
              <w:right w:val="single" w:sz="4" w:color="B7C4CA"/>
            </w:tcBorders>
          </w:tcPr>
          <w:p>
            <w:pPr>
              <w:spacing w:after="0"/>
            </w:pPr>
            <w:r/>
            <w:r>
              <w:rPr>
                <w:b w:val="0"/>
                <w:sz w:val="15"/>
              </w:rPr>
              <w:t xml:space="preserve"> $9,000</w:t>
            </w:r>
          </w:p>
        </w:tc>
      </w:tr>
      <w:tr>
        <w:trPr>
          <w:trHeight w:val="317"/>
        </w:trPr>
        <w:tc>
          <w:tcPr>
            <w:tcW w:type="dxa" w:w="7560"/>
            <w:vAlign w:val="center"/>
            <w:tcBorders>
              <w:top w:val="single" w:sz="4" w:color="B7C4CA"/>
              <w:left w:val="single" w:sz="4" w:color="B7C4CA"/>
              <w:bottom w:val="single" w:sz="4" w:color="B7C4CA"/>
              <w:right w:val="single" w:sz="4" w:color="B7C4CA"/>
            </w:tcBorders>
          </w:tcPr>
          <w:p>
            <w:pPr>
              <w:spacing w:after="0"/>
            </w:pPr>
            <w:r/>
            <w:r>
              <w:rPr>
                <w:b w:val="0"/>
                <w:sz w:val="15"/>
              </w:rPr>
              <w:t>10-kW propane standby, transfer equipment, limited branch work</w:t>
            </w:r>
          </w:p>
        </w:tc>
        <w:tc>
          <w:tcPr>
            <w:tcW w:type="dxa" w:w="2520"/>
            <w:vAlign w:val="center"/>
            <w:tcBorders>
              <w:top w:val="single" w:sz="4" w:color="B7C4CA"/>
              <w:left w:val="single" w:sz="4" w:color="B7C4CA"/>
              <w:bottom w:val="single" w:sz="4" w:color="B7C4CA"/>
              <w:right w:val="single" w:sz="4" w:color="B7C4CA"/>
            </w:tcBorders>
          </w:tcPr>
          <w:p>
            <w:pPr>
              <w:spacing w:after="0"/>
            </w:pPr>
            <w:r/>
            <w:r>
              <w:rPr>
                <w:b w:val="0"/>
                <w:sz w:val="15"/>
              </w:rPr>
              <w:t xml:space="preserve"> $29,000</w:t>
            </w:r>
          </w:p>
        </w:tc>
      </w:tr>
      <w:tr>
        <w:trPr>
          <w:trHeight w:val="317"/>
        </w:trPr>
        <w:tc>
          <w:tcPr>
            <w:tcW w:type="dxa" w:w="7560"/>
            <w:vAlign w:val="center"/>
            <w:tcBorders>
              <w:top w:val="single" w:sz="4" w:color="B7C4CA"/>
              <w:left w:val="single" w:sz="4" w:color="B7C4CA"/>
              <w:bottom w:val="single" w:sz="4" w:color="B7C4CA"/>
              <w:right w:val="single" w:sz="4" w:color="B7C4CA"/>
            </w:tcBorders>
          </w:tcPr>
          <w:p>
            <w:pPr>
              <w:spacing w:after="0"/>
            </w:pPr>
            <w:r/>
            <w:r>
              <w:rPr>
                <w:b w:val="0"/>
                <w:sz w:val="15"/>
              </w:rPr>
              <w:t>Temperature loggers, local beacons/sirens, gateway, cabling</w:t>
            </w:r>
          </w:p>
        </w:tc>
        <w:tc>
          <w:tcPr>
            <w:tcW w:type="dxa" w:w="2520"/>
            <w:vAlign w:val="center"/>
            <w:tcBorders>
              <w:top w:val="single" w:sz="4" w:color="B7C4CA"/>
              <w:left w:val="single" w:sz="4" w:color="B7C4CA"/>
              <w:bottom w:val="single" w:sz="4" w:color="B7C4CA"/>
              <w:right w:val="single" w:sz="4" w:color="B7C4CA"/>
            </w:tcBorders>
          </w:tcPr>
          <w:p>
            <w:pPr>
              <w:spacing w:after="0"/>
            </w:pPr>
            <w:r/>
            <w:r>
              <w:rPr>
                <w:b w:val="0"/>
                <w:sz w:val="15"/>
              </w:rPr>
              <w:t xml:space="preserve"> $12,000</w:t>
            </w:r>
          </w:p>
        </w:tc>
      </w:tr>
      <w:tr>
        <w:trPr>
          <w:trHeight w:val="317"/>
        </w:trPr>
        <w:tc>
          <w:tcPr>
            <w:tcW w:type="dxa" w:w="7560"/>
            <w:vAlign w:val="center"/>
            <w:tcBorders>
              <w:top w:val="single" w:sz="4" w:color="B7C4CA"/>
              <w:left w:val="single" w:sz="4" w:color="B7C4CA"/>
              <w:bottom w:val="single" w:sz="4" w:color="B7C4CA"/>
              <w:right w:val="single" w:sz="4" w:color="B7C4CA"/>
            </w:tcBorders>
          </w:tcPr>
          <w:p>
            <w:pPr>
              <w:spacing w:after="0"/>
            </w:pPr>
            <w:r/>
            <w:r>
              <w:rPr>
                <w:b w:val="0"/>
                <w:sz w:val="15"/>
              </w:rPr>
              <w:t>Move support, labels, custody reconciliation, acceptance test</w:t>
            </w:r>
          </w:p>
        </w:tc>
        <w:tc>
          <w:tcPr>
            <w:tcW w:type="dxa" w:w="2520"/>
            <w:vAlign w:val="center"/>
            <w:tcBorders>
              <w:top w:val="single" w:sz="4" w:color="B7C4CA"/>
              <w:left w:val="single" w:sz="4" w:color="B7C4CA"/>
              <w:bottom w:val="single" w:sz="4" w:color="B7C4CA"/>
              <w:right w:val="single" w:sz="4" w:color="B7C4CA"/>
            </w:tcBorders>
          </w:tcPr>
          <w:p>
            <w:pPr>
              <w:spacing w:after="0"/>
            </w:pPr>
            <w:r/>
            <w:r>
              <w:rPr>
                <w:b w:val="0"/>
                <w:sz w:val="15"/>
              </w:rPr>
              <w:t xml:space="preserve"> $6,000</w:t>
            </w:r>
          </w:p>
        </w:tc>
      </w:tr>
      <w:tr>
        <w:trPr>
          <w:trHeight w:val="317"/>
        </w:trPr>
        <w:tc>
          <w:tcPr>
            <w:tcW w:type="dxa" w:w="7560"/>
            <w:vAlign w:val="center"/>
            <w:tcBorders>
              <w:top w:val="single" w:sz="4" w:color="B7C4CA"/>
              <w:left w:val="single" w:sz="4" w:color="B7C4CA"/>
              <w:bottom w:val="single" w:sz="4" w:color="B7C4CA"/>
              <w:right w:val="single" w:sz="4" w:color="B7C4CA"/>
            </w:tcBorders>
          </w:tcPr>
          <w:p>
            <w:pPr>
              <w:spacing w:after="0"/>
            </w:pPr>
            <w:r/>
            <w:r>
              <w:rPr>
                <w:b w:val="0"/>
                <w:sz w:val="15"/>
              </w:rPr>
              <w:t>Contingency for concealed 1974-station conditions</w:t>
            </w:r>
          </w:p>
        </w:tc>
        <w:tc>
          <w:tcPr>
            <w:tcW w:type="dxa" w:w="2520"/>
            <w:vAlign w:val="center"/>
            <w:tcBorders>
              <w:top w:val="single" w:sz="4" w:color="B7C4CA"/>
              <w:left w:val="single" w:sz="4" w:color="B7C4CA"/>
              <w:bottom w:val="single" w:sz="4" w:color="B7C4CA"/>
              <w:right w:val="single" w:sz="4" w:color="B7C4CA"/>
            </w:tcBorders>
          </w:tcPr>
          <w:p>
            <w:pPr>
              <w:spacing w:after="0"/>
            </w:pPr>
            <w:r/>
            <w:r>
              <w:rPr>
                <w:b w:val="0"/>
                <w:sz w:val="15"/>
              </w:rPr>
              <w:t xml:space="preserve"> $18,000</w:t>
            </w:r>
          </w:p>
        </w:tc>
      </w:tr>
      <w:tr>
        <w:trPr>
          <w:trHeight w:val="317"/>
        </w:trPr>
        <w:tc>
          <w:tcPr>
            <w:tcW w:type="dxa" w:w="7560"/>
            <w:vAlign w:val="center"/>
            <w:tcBorders>
              <w:top w:val="single" w:sz="4" w:color="B7C4CA"/>
              <w:left w:val="single" w:sz="4" w:color="B7C4CA"/>
              <w:bottom w:val="single" w:sz="4" w:color="B7C4CA"/>
              <w:right w:val="single" w:sz="4" w:color="B7C4CA"/>
            </w:tcBorders>
          </w:tcPr>
          <w:p>
            <w:pPr>
              <w:spacing w:after="0"/>
            </w:pPr>
            <w:r/>
            <w:r>
              <w:rPr>
                <w:b w:val="0"/>
                <w:sz w:val="15"/>
              </w:rPr>
              <w:t>CENTRAL PLANNING TOTAL</w:t>
            </w:r>
          </w:p>
        </w:tc>
        <w:tc>
          <w:tcPr>
            <w:tcW w:type="dxa" w:w="2520"/>
            <w:vAlign w:val="center"/>
            <w:tcBorders>
              <w:top w:val="single" w:sz="4" w:color="B7C4CA"/>
              <w:left w:val="single" w:sz="4" w:color="B7C4CA"/>
              <w:bottom w:val="single" w:sz="4" w:color="B7C4CA"/>
              <w:right w:val="single" w:sz="4" w:color="B7C4CA"/>
            </w:tcBorders>
          </w:tcPr>
          <w:p>
            <w:pPr>
              <w:spacing w:after="0"/>
            </w:pPr>
            <w:r/>
            <w:r>
              <w:rPr>
                <w:b w:val="0"/>
                <w:sz w:val="15"/>
              </w:rPr>
              <w:t xml:space="preserve"> $164,000</w:t>
            </w:r>
          </w:p>
        </w:tc>
      </w:tr>
    </w:tbl>
    <w:p>
      <w:pPr>
        <w:spacing w:after="20"/>
      </w:pPr>
    </w:p>
    <w:p>
      <w:pPr>
        <w:spacing w:after="40" w:line="247" w:lineRule="auto"/>
      </w:pPr>
      <w:r>
        <w:t>Arithmetic: $48k + $24k + $18k + $9k + $29k + $12k + $6k + $18k = $164k. Local estimates are planning figures rather than bids or commitments by Heronbank Works or the Sandpiper Board. Assumptions: existing panel has capacity for two managed freezer circuits and limited generator transfer after a field load test; the records-room slab needs only the included local remedy; propane placement is permitted on the station site; and existing evidence volume can be allocated across two cabinets with 20% empty rack capacity. The cost uncertainty most capable of changing the decision is a discovered panel or service upgrade beyond the included branch work; the pre-award verification must price that condition before release of the contingency.</w:t>
      </w:r>
    </w:p>
    <w:p>
      <w:pPr>
        <w:spacing w:before="100" w:after="40"/>
      </w:pPr>
      <w:r>
        <w:rPr>
          <w:b/>
          <w:color w:val="1F4E5F"/>
          <w:sz w:val="18"/>
        </w:rPr>
        <w:t>5. RISKS, DEGRADED MODE, AND EXCEPTION AUTHORITY</w:t>
      </w:r>
    </w:p>
    <w:tbl>
      <w:tblPr>
        <w:tblW w:type="auto" w:w="0"/>
        <w:jc w:val="center"/>
        <w:tblLayout w:type="fixed"/>
        <w:tblLook w:firstColumn="1" w:firstRow="1" w:lastColumn="0" w:lastRow="0" w:noHBand="0" w:noVBand="1" w:val="04A0"/>
      </w:tblPr>
      <w:tblGrid>
        <w:gridCol w:w="3552"/>
        <w:gridCol w:w="3552"/>
        <w:gridCol w:w="3552"/>
      </w:tblGrid>
      <w:tr>
        <w:trPr>
          <w:trHeight w:val="317"/>
        </w:trPr>
        <w:tc>
          <w:tcPr>
            <w:tcW w:type="dxa" w:w="2232"/>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Risk / trigger</w:t>
            </w:r>
          </w:p>
        </w:tc>
        <w:tc>
          <w:tcPr>
            <w:tcW w:type="dxa" w:w="4968"/>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Immediate control and record</w:t>
            </w:r>
          </w:p>
        </w:tc>
        <w:tc>
          <w:tcPr>
            <w:tcW w:type="dxa" w:w="2880"/>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Owner / decision authority</w:t>
            </w:r>
          </w:p>
        </w:tc>
      </w:tr>
      <w:tr>
        <w:trPr>
          <w:trHeight w:val="317"/>
        </w:trPr>
        <w:tc>
          <w:tcPr>
            <w:tcW w:type="dxa" w:w="2232"/>
            <w:vAlign w:val="center"/>
            <w:tcBorders>
              <w:top w:val="single" w:sz="4" w:color="B7C4CA"/>
              <w:left w:val="single" w:sz="4" w:color="B7C4CA"/>
              <w:bottom w:val="single" w:sz="4" w:color="B7C4CA"/>
              <w:right w:val="single" w:sz="4" w:color="B7C4CA"/>
            </w:tcBorders>
          </w:tcPr>
          <w:p>
            <w:pPr>
              <w:spacing w:after="0"/>
            </w:pPr>
            <w:r/>
            <w:r>
              <w:rPr>
                <w:b w:val="0"/>
                <w:sz w:val="15"/>
              </w:rPr>
              <w:t>Freezer fault or temperature at -65 C; sensor/logger data gap</w:t>
            </w:r>
          </w:p>
        </w:tc>
        <w:tc>
          <w:tcPr>
            <w:tcW w:type="dxa" w:w="4968"/>
            <w:vAlign w:val="center"/>
            <w:tcBorders>
              <w:top w:val="single" w:sz="4" w:color="B7C4CA"/>
              <w:left w:val="single" w:sz="4" w:color="B7C4CA"/>
              <w:bottom w:val="single" w:sz="4" w:color="B7C4CA"/>
              <w:right w:val="single" w:sz="4" w:color="B7C4CA"/>
            </w:tcBorders>
          </w:tcPr>
          <w:p>
            <w:pPr>
              <w:spacing w:after="0"/>
            </w:pPr>
            <w:r/>
            <w:r>
              <w:rPr>
                <w:b w:val="0"/>
                <w:sz w:val="15"/>
              </w:rPr>
              <w:t>Stop routine access; preserve local display/log; open an exception record; stage sealed inventory in the other cabinet only if capacity and condition permit.</w:t>
            </w:r>
          </w:p>
        </w:tc>
        <w:tc>
          <w:tcPr>
            <w:tcW w:type="dxa" w:w="2880"/>
            <w:vAlign w:val="center"/>
            <w:tcBorders>
              <w:top w:val="single" w:sz="4" w:color="B7C4CA"/>
              <w:left w:val="single" w:sz="4" w:color="B7C4CA"/>
              <w:bottom w:val="single" w:sz="4" w:color="B7C4CA"/>
              <w:right w:val="single" w:sz="4" w:color="B7C4CA"/>
            </w:tcBorders>
          </w:tcPr>
          <w:p>
            <w:pPr>
              <w:spacing w:after="0"/>
            </w:pPr>
            <w:r/>
            <w:r>
              <w:rPr>
                <w:b w:val="0"/>
                <w:sz w:val="15"/>
              </w:rPr>
              <w:t>Custodian records; Sgt. Vanterpool decides emergency internal move after case supervisor consults.</w:t>
            </w:r>
          </w:p>
        </w:tc>
      </w:tr>
      <w:tr>
        <w:trPr>
          <w:trHeight w:val="317"/>
        </w:trPr>
        <w:tc>
          <w:tcPr>
            <w:tcW w:type="dxa" w:w="2232"/>
            <w:vAlign w:val="center"/>
            <w:tcBorders>
              <w:top w:val="single" w:sz="4" w:color="B7C4CA"/>
              <w:left w:val="single" w:sz="4" w:color="B7C4CA"/>
              <w:bottom w:val="single" w:sz="4" w:color="B7C4CA"/>
              <w:right w:val="single" w:sz="4" w:color="B7C4CA"/>
            </w:tcBorders>
          </w:tcPr>
          <w:p>
            <w:pPr>
              <w:spacing w:after="0"/>
            </w:pPr>
            <w:r/>
            <w:r>
              <w:rPr>
                <w:b w:val="0"/>
                <w:sz w:val="15"/>
              </w:rPr>
              <w:t>Utility loss or generator does not start</w:t>
            </w:r>
          </w:p>
        </w:tc>
        <w:tc>
          <w:tcPr>
            <w:tcW w:type="dxa" w:w="4968"/>
            <w:vAlign w:val="center"/>
            <w:tcBorders>
              <w:top w:val="single" w:sz="4" w:color="B7C4CA"/>
              <w:left w:val="single" w:sz="4" w:color="B7C4CA"/>
              <w:bottom w:val="single" w:sz="4" w:color="B7C4CA"/>
              <w:right w:val="single" w:sz="4" w:color="B7C4CA"/>
            </w:tcBorders>
          </w:tcPr>
          <w:p>
            <w:pPr>
              <w:spacing w:after="0"/>
            </w:pPr>
            <w:r/>
            <w:r>
              <w:rPr>
                <w:b w:val="0"/>
                <w:sz w:val="15"/>
              </w:rPr>
              <w:t>Confirm generator status; limit door openings; notify supervisor; use measured temperature trend to prioritize an authorized move.</w:t>
            </w:r>
          </w:p>
        </w:tc>
        <w:tc>
          <w:tcPr>
            <w:tcW w:type="dxa" w:w="2880"/>
            <w:vAlign w:val="center"/>
            <w:tcBorders>
              <w:top w:val="single" w:sz="4" w:color="B7C4CA"/>
              <w:left w:val="single" w:sz="4" w:color="B7C4CA"/>
              <w:bottom w:val="single" w:sz="4" w:color="B7C4CA"/>
              <w:right w:val="single" w:sz="4" w:color="B7C4CA"/>
            </w:tcBorders>
          </w:tcPr>
          <w:p>
            <w:pPr>
              <w:spacing w:after="0"/>
            </w:pPr>
            <w:r/>
            <w:r>
              <w:rPr>
                <w:b w:val="0"/>
                <w:sz w:val="15"/>
              </w:rPr>
              <w:t>Custodian records; Sgt. Vanterpool authorizes move.</w:t>
            </w:r>
          </w:p>
        </w:tc>
      </w:tr>
      <w:tr>
        <w:trPr>
          <w:trHeight w:val="317"/>
        </w:trPr>
        <w:tc>
          <w:tcPr>
            <w:tcW w:type="dxa" w:w="2232"/>
            <w:vAlign w:val="center"/>
            <w:tcBorders>
              <w:top w:val="single" w:sz="4" w:color="B7C4CA"/>
              <w:left w:val="single" w:sz="4" w:color="B7C4CA"/>
              <w:bottom w:val="single" w:sz="4" w:color="B7C4CA"/>
              <w:right w:val="single" w:sz="4" w:color="B7C4CA"/>
            </w:tcBorders>
          </w:tcPr>
          <w:p>
            <w:pPr>
              <w:spacing w:after="0"/>
            </w:pPr>
            <w:r/>
            <w:r>
              <w:rPr>
                <w:b w:val="0"/>
                <w:sz w:val="15"/>
              </w:rPr>
              <w:t>Winter monitoring link drops</w:t>
            </w:r>
          </w:p>
        </w:tc>
        <w:tc>
          <w:tcPr>
            <w:tcW w:type="dxa" w:w="4968"/>
            <w:vAlign w:val="center"/>
            <w:tcBorders>
              <w:top w:val="single" w:sz="4" w:color="B7C4CA"/>
              <w:left w:val="single" w:sz="4" w:color="B7C4CA"/>
              <w:bottom w:val="single" w:sz="4" w:color="B7C4CA"/>
              <w:right w:val="single" w:sz="4" w:color="B7C4CA"/>
            </w:tcBorders>
          </w:tcPr>
          <w:p>
            <w:pPr>
              <w:spacing w:after="0"/>
            </w:pPr>
            <w:r/>
            <w:r>
              <w:rPr>
                <w:b w:val="0"/>
                <w:sz w:val="15"/>
              </w:rPr>
              <w:t>Local beacon/siren remains active; gateway marks communications lost; custodian performs and logs twice-daily local checks until link is restored.</w:t>
            </w:r>
          </w:p>
        </w:tc>
        <w:tc>
          <w:tcPr>
            <w:tcW w:type="dxa" w:w="2880"/>
            <w:vAlign w:val="center"/>
            <w:tcBorders>
              <w:top w:val="single" w:sz="4" w:color="B7C4CA"/>
              <w:left w:val="single" w:sz="4" w:color="B7C4CA"/>
              <w:bottom w:val="single" w:sz="4" w:color="B7C4CA"/>
              <w:right w:val="single" w:sz="4" w:color="B7C4CA"/>
            </w:tcBorders>
          </w:tcPr>
          <w:p>
            <w:pPr>
              <w:spacing w:after="0"/>
            </w:pPr>
            <w:r/>
            <w:r>
              <w:rPr>
                <w:b w:val="0"/>
                <w:sz w:val="15"/>
              </w:rPr>
              <w:t>Custodian records and notifies Sgt. Vanterpool; facilities contact investigates link.</w:t>
            </w:r>
          </w:p>
        </w:tc>
      </w:tr>
      <w:tr>
        <w:trPr>
          <w:trHeight w:val="317"/>
        </w:trPr>
        <w:tc>
          <w:tcPr>
            <w:tcW w:type="dxa" w:w="2232"/>
            <w:vAlign w:val="center"/>
            <w:tcBorders>
              <w:top w:val="single" w:sz="4" w:color="B7C4CA"/>
              <w:left w:val="single" w:sz="4" w:color="B7C4CA"/>
              <w:bottom w:val="single" w:sz="4" w:color="B7C4CA"/>
              <w:right w:val="single" w:sz="4" w:color="B7C4CA"/>
            </w:tcBorders>
          </w:tcPr>
          <w:p>
            <w:pPr>
              <w:spacing w:after="0"/>
            </w:pPr>
            <w:r/>
            <w:r>
              <w:rPr>
                <w:b w:val="0"/>
                <w:sz w:val="15"/>
              </w:rPr>
              <w:t>Custodian unavailable; urgent access needed</w:t>
            </w:r>
          </w:p>
        </w:tc>
        <w:tc>
          <w:tcPr>
            <w:tcW w:type="dxa" w:w="4968"/>
            <w:vAlign w:val="center"/>
            <w:tcBorders>
              <w:top w:val="single" w:sz="4" w:color="B7C4CA"/>
              <w:left w:val="single" w:sz="4" w:color="B7C4CA"/>
              <w:bottom w:val="single" w:sz="4" w:color="B7C4CA"/>
              <w:right w:val="single" w:sz="4" w:color="B7C4CA"/>
            </w:tcBorders>
          </w:tcPr>
          <w:p>
            <w:pPr>
              <w:spacing w:after="0"/>
            </w:pPr>
            <w:r/>
            <w:r>
              <w:rPr>
                <w:b w:val="0"/>
                <w:sz w:val="15"/>
              </w:rPr>
              <w:t>Supervisor authorizes named alternate for one event; alternate logs identity, purpose, time, evidence, and two-person reconciliation.</w:t>
            </w:r>
          </w:p>
        </w:tc>
        <w:tc>
          <w:tcPr>
            <w:tcW w:type="dxa" w:w="2880"/>
            <w:vAlign w:val="center"/>
            <w:tcBorders>
              <w:top w:val="single" w:sz="4" w:color="B7C4CA"/>
              <w:left w:val="single" w:sz="4" w:color="B7C4CA"/>
              <w:bottom w:val="single" w:sz="4" w:color="B7C4CA"/>
              <w:right w:val="single" w:sz="4" w:color="B7C4CA"/>
            </w:tcBorders>
          </w:tcPr>
          <w:p>
            <w:pPr>
              <w:spacing w:after="0"/>
            </w:pPr>
            <w:r/>
            <w:r>
              <w:rPr>
                <w:b w:val="0"/>
                <w:sz w:val="15"/>
              </w:rPr>
              <w:t>Alternate records; Sgt. Vanterpool authorizes emergency access.</w:t>
            </w:r>
          </w:p>
        </w:tc>
      </w:tr>
      <w:tr>
        <w:trPr>
          <w:trHeight w:val="317"/>
        </w:trPr>
        <w:tc>
          <w:tcPr>
            <w:tcW w:type="dxa" w:w="2232"/>
            <w:vAlign w:val="center"/>
            <w:tcBorders>
              <w:top w:val="single" w:sz="4" w:color="B7C4CA"/>
              <w:left w:val="single" w:sz="4" w:color="B7C4CA"/>
              <w:bottom w:val="single" w:sz="4" w:color="B7C4CA"/>
              <w:right w:val="single" w:sz="4" w:color="B7C4CA"/>
            </w:tcBorders>
          </w:tcPr>
          <w:p>
            <w:pPr>
              <w:spacing w:after="0"/>
            </w:pPr>
            <w:r/>
            <w:r>
              <w:rPr>
                <w:b w:val="0"/>
                <w:sz w:val="15"/>
              </w:rPr>
              <w:t>Retention status unclear, or release/disposition requested</w:t>
            </w:r>
          </w:p>
        </w:tc>
        <w:tc>
          <w:tcPr>
            <w:tcW w:type="dxa" w:w="4968"/>
            <w:vAlign w:val="center"/>
            <w:tcBorders>
              <w:top w:val="single" w:sz="4" w:color="B7C4CA"/>
              <w:left w:val="single" w:sz="4" w:color="B7C4CA"/>
              <w:bottom w:val="single" w:sz="4" w:color="B7C4CA"/>
              <w:right w:val="single" w:sz="4" w:color="B7C4CA"/>
            </w:tcBorders>
          </w:tcPr>
          <w:p>
            <w:pPr>
              <w:spacing w:after="0"/>
            </w:pPr>
            <w:r/>
            <w:r>
              <w:rPr>
                <w:b w:val="0"/>
                <w:sz w:val="15"/>
              </w:rPr>
              <w:t>Keep item in its category rack; flag record; do not release or dispose.</w:t>
            </w:r>
          </w:p>
        </w:tc>
        <w:tc>
          <w:tcPr>
            <w:tcW w:type="dxa" w:w="2880"/>
            <w:vAlign w:val="center"/>
            <w:tcBorders>
              <w:top w:val="single" w:sz="4" w:color="B7C4CA"/>
              <w:left w:val="single" w:sz="4" w:color="B7C4CA"/>
              <w:bottom w:val="single" w:sz="4" w:color="B7C4CA"/>
              <w:right w:val="single" w:sz="4" w:color="B7C4CA"/>
            </w:tcBorders>
          </w:tcPr>
          <w:p>
            <w:pPr>
              <w:spacing w:after="0"/>
            </w:pPr>
            <w:r/>
            <w:r>
              <w:rPr>
                <w:b w:val="0"/>
                <w:sz w:val="15"/>
              </w:rPr>
              <w:t>Custodian records; Hollis Nakagawa with the responsible case authority decides release/disposition.</w:t>
            </w:r>
          </w:p>
        </w:tc>
      </w:tr>
    </w:tbl>
    <w:p>
      <w:pPr>
        <w:spacing w:after="20"/>
      </w:pPr>
    </w:p>
    <w:p>
      <w:pPr>
        <w:spacing w:after="40" w:line="247" w:lineRule="auto"/>
      </w:pPr>
      <w:r>
        <w:t>Each exception record states trigger, affected identifiers, temperatures or alarm state, persons notified, action, authorization, and closure. Sgt. Vanterpool reviews open exceptions daily; the custodian closes an exception only after conditions, inventory, and logs are reconciled. A temporary location is rechecked every shift and must either return to approved storage or receive a renewed written decision within 72 hours. This prevents an emergency workaround from becoming informal permanent storage. Equipment service delay, failed sensor, or failed access hardware is treated through the same record and corrective-action path.</w:t>
      </w:r>
    </w:p>
    <w:p>
      <w:pPr>
        <w:spacing w:before="100" w:after="40"/>
      </w:pPr>
      <w:r>
        <w:rPr>
          <w:b/>
          <w:color w:val="1F4E5F"/>
          <w:sz w:val="18"/>
        </w:rPr>
        <w:t>6. IMPLEMENTATION: BRIDGE TO 1 DECEMBER AND STEADY STATE</w:t>
      </w:r>
    </w:p>
    <w:tbl>
      <w:tblPr>
        <w:tblW w:type="auto" w:w="0"/>
        <w:jc w:val="center"/>
        <w:tblLayout w:type="fixed"/>
        <w:tblLook w:firstColumn="1" w:firstRow="1" w:lastColumn="0" w:lastRow="0" w:noHBand="0" w:noVBand="1" w:val="04A0"/>
      </w:tblPr>
      <w:tblGrid>
        <w:gridCol w:w="3552"/>
        <w:gridCol w:w="3552"/>
        <w:gridCol w:w="3552"/>
      </w:tblGrid>
      <w:tr>
        <w:trPr>
          <w:trHeight w:val="317"/>
        </w:trPr>
        <w:tc>
          <w:tcPr>
            <w:tcW w:type="dxa" w:w="1944"/>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When / gate</w:t>
            </w:r>
          </w:p>
        </w:tc>
        <w:tc>
          <w:tcPr>
            <w:tcW w:type="dxa" w:w="6120"/>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Action and control</w:t>
            </w:r>
          </w:p>
        </w:tc>
        <w:tc>
          <w:tcPr>
            <w:tcW w:type="dxa" w:w="2016"/>
            <w:vAlign w:val="center"/>
            <w:tcBorders>
              <w:top w:val="single" w:sz="4" w:color="B7C4CA"/>
              <w:left w:val="single" w:sz="4" w:color="B7C4CA"/>
              <w:bottom w:val="single" w:sz="4" w:color="B7C4CA"/>
              <w:right w:val="single" w:sz="4" w:color="B7C4CA"/>
            </w:tcBorders>
            <w:shd w:fill="1F4E5F"/>
          </w:tcPr>
          <w:p>
            <w:pPr>
              <w:spacing w:after="0"/>
            </w:pPr>
            <w:r/>
            <w:r>
              <w:rPr>
                <w:b/>
                <w:color w:val="FFFFFF"/>
                <w:sz w:val="15"/>
              </w:rPr>
              <w:t>Owner</w:t>
            </w:r>
          </w:p>
        </w:tc>
      </w:tr>
      <w:tr>
        <w:trPr>
          <w:trHeight w:val="317"/>
        </w:trPr>
        <w:tc>
          <w:tcPr>
            <w:tcW w:type="dxa" w:w="1944"/>
            <w:vAlign w:val="center"/>
            <w:tcBorders>
              <w:top w:val="single" w:sz="4" w:color="B7C4CA"/>
              <w:left w:val="single" w:sz="4" w:color="B7C4CA"/>
              <w:bottom w:val="single" w:sz="4" w:color="B7C4CA"/>
              <w:right w:val="single" w:sz="4" w:color="B7C4CA"/>
            </w:tcBorders>
          </w:tcPr>
          <w:p>
            <w:pPr>
              <w:spacing w:after="0"/>
            </w:pPr>
            <w:r/>
            <w:r>
              <w:rPr>
                <w:b w:val="0"/>
                <w:sz w:val="15"/>
              </w:rPr>
              <w:t>Now through 1 December (bridge)</w:t>
            </w:r>
          </w:p>
        </w:tc>
        <w:tc>
          <w:tcPr>
            <w:tcW w:type="dxa" w:w="6120"/>
            <w:vAlign w:val="center"/>
            <w:tcBorders>
              <w:top w:val="single" w:sz="4" w:color="B7C4CA"/>
              <w:left w:val="single" w:sz="4" w:color="B7C4CA"/>
              <w:bottom w:val="single" w:sz="4" w:color="B7C4CA"/>
              <w:right w:val="single" w:sz="4" w:color="B7C4CA"/>
            </w:tcBorders>
          </w:tcPr>
          <w:p>
            <w:pPr>
              <w:spacing w:after="0"/>
            </w:pPr>
            <w:r/>
            <w:r>
              <w:rPr>
                <w:b w:val="0"/>
                <w:sz w:val="15"/>
              </w:rPr>
              <w:t>Custodian freezes the baseline inventory; applies category/location labels; starts twice-daily manual temperature and access logs; identifies a controlled spare cabinet for emergency transfers. No new reliance on state-lab long-term acceptance.</w:t>
            </w:r>
          </w:p>
        </w:tc>
        <w:tc>
          <w:tcPr>
            <w:tcW w:type="dxa" w:w="2016"/>
            <w:vAlign w:val="center"/>
            <w:tcBorders>
              <w:top w:val="single" w:sz="4" w:color="B7C4CA"/>
              <w:left w:val="single" w:sz="4" w:color="B7C4CA"/>
              <w:bottom w:val="single" w:sz="4" w:color="B7C4CA"/>
              <w:right w:val="single" w:sz="4" w:color="B7C4CA"/>
            </w:tcBorders>
          </w:tcPr>
          <w:p>
            <w:pPr>
              <w:spacing w:after="0"/>
            </w:pPr>
            <w:r/>
            <w:r>
              <w:rPr>
                <w:b w:val="0"/>
                <w:sz w:val="15"/>
              </w:rPr>
              <w:t>Evidence Custodian; Sgt. Vanterpool</w:t>
            </w:r>
          </w:p>
        </w:tc>
      </w:tr>
      <w:tr>
        <w:trPr>
          <w:trHeight w:val="317"/>
        </w:trPr>
        <w:tc>
          <w:tcPr>
            <w:tcW w:type="dxa" w:w="1944"/>
            <w:vAlign w:val="center"/>
            <w:tcBorders>
              <w:top w:val="single" w:sz="4" w:color="B7C4CA"/>
              <w:left w:val="single" w:sz="4" w:color="B7C4CA"/>
              <w:bottom w:val="single" w:sz="4" w:color="B7C4CA"/>
              <w:right w:val="single" w:sz="4" w:color="B7C4CA"/>
            </w:tcBorders>
          </w:tcPr>
          <w:p>
            <w:pPr>
              <w:spacing w:after="0"/>
            </w:pPr>
            <w:r/>
            <w:r>
              <w:rPr>
                <w:b w:val="0"/>
                <w:sz w:val="15"/>
              </w:rPr>
              <w:t>Before award</w:t>
            </w:r>
          </w:p>
        </w:tc>
        <w:tc>
          <w:tcPr>
            <w:tcW w:type="dxa" w:w="6120"/>
            <w:vAlign w:val="center"/>
            <w:tcBorders>
              <w:top w:val="single" w:sz="4" w:color="B7C4CA"/>
              <w:left w:val="single" w:sz="4" w:color="B7C4CA"/>
              <w:bottom w:val="single" w:sz="4" w:color="B7C4CA"/>
              <w:right w:val="single" w:sz="4" w:color="B7C4CA"/>
            </w:tcBorders>
          </w:tcPr>
          <w:p>
            <w:pPr>
              <w:spacing w:after="0"/>
            </w:pPr>
            <w:r/>
            <w:r>
              <w:rPr>
                <w:b w:val="0"/>
                <w:sz w:val="15"/>
              </w:rPr>
              <w:t>Heronbank Works validates panel load, circuit route, slab condition, room dimensions, generator siting, and freezer delivery path; price any condition beyond defined allowances for decision before commitment.</w:t>
            </w:r>
          </w:p>
        </w:tc>
        <w:tc>
          <w:tcPr>
            <w:tcW w:type="dxa" w:w="2016"/>
            <w:vAlign w:val="center"/>
            <w:tcBorders>
              <w:top w:val="single" w:sz="4" w:color="B7C4CA"/>
              <w:left w:val="single" w:sz="4" w:color="B7C4CA"/>
              <w:bottom w:val="single" w:sz="4" w:color="B7C4CA"/>
              <w:right w:val="single" w:sz="4" w:color="B7C4CA"/>
            </w:tcBorders>
          </w:tcPr>
          <w:p>
            <w:pPr>
              <w:spacing w:after="0"/>
            </w:pPr>
            <w:r/>
            <w:r>
              <w:rPr>
                <w:b w:val="0"/>
                <w:sz w:val="15"/>
              </w:rPr>
              <w:t>Heronbank Works; facilities reviewer; Sgt. Vanterpool</w:t>
            </w:r>
          </w:p>
        </w:tc>
      </w:tr>
      <w:tr>
        <w:trPr>
          <w:trHeight w:val="317"/>
        </w:trPr>
        <w:tc>
          <w:tcPr>
            <w:tcW w:type="dxa" w:w="1944"/>
            <w:vAlign w:val="center"/>
            <w:tcBorders>
              <w:top w:val="single" w:sz="4" w:color="B7C4CA"/>
              <w:left w:val="single" w:sz="4" w:color="B7C4CA"/>
              <w:bottom w:val="single" w:sz="4" w:color="B7C4CA"/>
              <w:right w:val="single" w:sz="4" w:color="B7C4CA"/>
            </w:tcBorders>
          </w:tcPr>
          <w:p>
            <w:pPr>
              <w:spacing w:after="0"/>
            </w:pPr>
            <w:r/>
            <w:r>
              <w:rPr>
                <w:b w:val="0"/>
                <w:sz w:val="15"/>
              </w:rPr>
              <w:t>Installation / move</w:t>
            </w:r>
          </w:p>
        </w:tc>
        <w:tc>
          <w:tcPr>
            <w:tcW w:type="dxa" w:w="6120"/>
            <w:vAlign w:val="center"/>
            <w:tcBorders>
              <w:top w:val="single" w:sz="4" w:color="B7C4CA"/>
              <w:left w:val="single" w:sz="4" w:color="B7C4CA"/>
              <w:bottom w:val="single" w:sz="4" w:color="B7C4CA"/>
              <w:right w:val="single" w:sz="4" w:color="B7C4CA"/>
            </w:tcBorders>
          </w:tcPr>
          <w:p>
            <w:pPr>
              <w:spacing w:after="0"/>
            </w:pPr>
            <w:r/>
            <w:r>
              <w:rPr>
                <w:b w:val="0"/>
                <w:sz w:val="15"/>
              </w:rPr>
              <w:t>Keep current storage in service until new cabinets pass acceptance. Move sealed, logged lots one cabinet/rack at a time with custodian and witness; reconcile count, label, location, and temperature record at each handoff.</w:t>
            </w:r>
          </w:p>
        </w:tc>
        <w:tc>
          <w:tcPr>
            <w:tcW w:type="dxa" w:w="2016"/>
            <w:vAlign w:val="center"/>
            <w:tcBorders>
              <w:top w:val="single" w:sz="4" w:color="B7C4CA"/>
              <w:left w:val="single" w:sz="4" w:color="B7C4CA"/>
              <w:bottom w:val="single" w:sz="4" w:color="B7C4CA"/>
              <w:right w:val="single" w:sz="4" w:color="B7C4CA"/>
            </w:tcBorders>
          </w:tcPr>
          <w:p>
            <w:pPr>
              <w:spacing w:after="0"/>
            </w:pPr>
            <w:r/>
            <w:r>
              <w:rPr>
                <w:b w:val="0"/>
                <w:sz w:val="15"/>
              </w:rPr>
              <w:t>Custodian; designated witness; installer for equipment only</w:t>
            </w:r>
          </w:p>
        </w:tc>
      </w:tr>
      <w:tr>
        <w:trPr>
          <w:trHeight w:val="317"/>
        </w:trPr>
        <w:tc>
          <w:tcPr>
            <w:tcW w:type="dxa" w:w="1944"/>
            <w:vAlign w:val="center"/>
            <w:tcBorders>
              <w:top w:val="single" w:sz="4" w:color="B7C4CA"/>
              <w:left w:val="single" w:sz="4" w:color="B7C4CA"/>
              <w:bottom w:val="single" w:sz="4" w:color="B7C4CA"/>
              <w:right w:val="single" w:sz="4" w:color="B7C4CA"/>
            </w:tcBorders>
          </w:tcPr>
          <w:p>
            <w:pPr>
              <w:spacing w:after="0"/>
            </w:pPr>
            <w:r/>
            <w:r>
              <w:rPr>
                <w:b w:val="0"/>
                <w:sz w:val="15"/>
              </w:rPr>
              <w:t>Before routine use (end state)</w:t>
            </w:r>
          </w:p>
        </w:tc>
        <w:tc>
          <w:tcPr>
            <w:tcW w:type="dxa" w:w="6120"/>
            <w:vAlign w:val="center"/>
            <w:tcBorders>
              <w:top w:val="single" w:sz="4" w:color="B7C4CA"/>
              <w:left w:val="single" w:sz="4" w:color="B7C4CA"/>
              <w:bottom w:val="single" w:sz="4" w:color="B7C4CA"/>
              <w:right w:val="single" w:sz="4" w:color="B7C4CA"/>
            </w:tcBorders>
          </w:tcPr>
          <w:p>
            <w:pPr>
              <w:spacing w:after="0"/>
            </w:pPr>
            <w:r/>
            <w:r>
              <w:rPr>
                <w:b w:val="0"/>
                <w:sz w:val="15"/>
              </w:rPr>
              <w:t>Acceptance check: setpoint stability; logger records; local beacon; simulated link loss; managed restart/generator test; access logs; federal/state rack labels; inventory reconciliation; exception form. Retain test records.</w:t>
            </w:r>
          </w:p>
        </w:tc>
        <w:tc>
          <w:tcPr>
            <w:tcW w:type="dxa" w:w="2016"/>
            <w:vAlign w:val="center"/>
            <w:tcBorders>
              <w:top w:val="single" w:sz="4" w:color="B7C4CA"/>
              <w:left w:val="single" w:sz="4" w:color="B7C4CA"/>
              <w:bottom w:val="single" w:sz="4" w:color="B7C4CA"/>
              <w:right w:val="single" w:sz="4" w:color="B7C4CA"/>
            </w:tcBorders>
          </w:tcPr>
          <w:p>
            <w:pPr>
              <w:spacing w:after="0"/>
            </w:pPr>
            <w:r/>
            <w:r>
              <w:rPr>
                <w:b w:val="0"/>
                <w:sz w:val="15"/>
              </w:rPr>
              <w:t>Custodian verifies; Sgt. Vanterpool accepts; Heronbank Works corrects installation defects</w:t>
            </w:r>
          </w:p>
        </w:tc>
      </w:tr>
      <w:tr>
        <w:trPr>
          <w:trHeight w:val="317"/>
        </w:trPr>
        <w:tc>
          <w:tcPr>
            <w:tcW w:type="dxa" w:w="1944"/>
            <w:vAlign w:val="center"/>
            <w:tcBorders>
              <w:top w:val="single" w:sz="4" w:color="B7C4CA"/>
              <w:left w:val="single" w:sz="4" w:color="B7C4CA"/>
              <w:bottom w:val="single" w:sz="4" w:color="B7C4CA"/>
              <w:right w:val="single" w:sz="4" w:color="B7C4CA"/>
            </w:tcBorders>
          </w:tcPr>
          <w:p>
            <w:pPr>
              <w:spacing w:after="0"/>
            </w:pPr>
            <w:r/>
            <w:r>
              <w:rPr>
                <w:b w:val="0"/>
                <w:sz w:val="15"/>
              </w:rPr>
              <w:t>If permanent installation is late</w:t>
            </w:r>
          </w:p>
        </w:tc>
        <w:tc>
          <w:tcPr>
            <w:tcW w:type="dxa" w:w="6120"/>
            <w:vAlign w:val="center"/>
            <w:tcBorders>
              <w:top w:val="single" w:sz="4" w:color="B7C4CA"/>
              <w:left w:val="single" w:sz="4" w:color="B7C4CA"/>
              <w:bottom w:val="single" w:sz="4" w:color="B7C4CA"/>
              <w:right w:val="single" w:sz="4" w:color="B7C4CA"/>
            </w:tcBorders>
          </w:tcPr>
          <w:p>
            <w:pPr>
              <w:spacing w:after="0"/>
            </w:pPr>
            <w:r/>
            <w:r>
              <w:rPr>
                <w:b w:val="0"/>
                <w:sz w:val="15"/>
              </w:rPr>
              <w:t>Continue bridge controls and current storage; use only the identified controlled spare for a documented excursion. Escalate a need for external emergency storage to Sgt. Vanterpool and counsel; do not make an undocumented transfer.</w:t>
            </w:r>
          </w:p>
        </w:tc>
        <w:tc>
          <w:tcPr>
            <w:tcW w:type="dxa" w:w="2016"/>
            <w:vAlign w:val="center"/>
            <w:tcBorders>
              <w:top w:val="single" w:sz="4" w:color="B7C4CA"/>
              <w:left w:val="single" w:sz="4" w:color="B7C4CA"/>
              <w:bottom w:val="single" w:sz="4" w:color="B7C4CA"/>
              <w:right w:val="single" w:sz="4" w:color="B7C4CA"/>
            </w:tcBorders>
          </w:tcPr>
          <w:p>
            <w:pPr>
              <w:spacing w:after="0"/>
            </w:pPr>
            <w:r/>
            <w:r>
              <w:rPr>
                <w:b w:val="0"/>
                <w:sz w:val="15"/>
              </w:rPr>
              <w:t>Custodian records; Sgt. Vanterpool decides move; counsel advises on retention/custody consequence</w:t>
            </w:r>
          </w:p>
        </w:tc>
      </w:tr>
    </w:tbl>
    <w:p>
      <w:pPr>
        <w:spacing w:after="20"/>
      </w:pPr>
    </w:p>
    <w:p>
      <w:pPr>
        <w:spacing w:before="100" w:after="40"/>
      </w:pPr>
      <w:r>
        <w:rPr>
          <w:b/>
          <w:color w:val="1F4E5F"/>
          <w:sz w:val="18"/>
        </w:rPr>
        <w:t>7. DECISION</w:t>
      </w:r>
    </w:p>
    <w:p>
      <w:pPr>
        <w:spacing w:after="40" w:line="247" w:lineRule="auto"/>
      </w:pPr>
      <w:r>
        <w:t>Approve the $164,000 planning configuration: two independently powered, lockable -80 C upright freezers in a conditioned, access-controlled District 3 evidence room, with limited standby power, local alarm capability, documented degraded-mode checks, and physically segregated federal-charged and state-case allocations. Authorize it subject to the bounded pre-award panel, slab, delivery-path, and generator-siting verification described above, while operating the pre-1 December bridge controls until the acceptance check is complete.</w:t>
      </w:r>
    </w:p>
    <w:sectPr w:rsidR="00FC693F" w:rsidRPr="0006063C" w:rsidSect="00034616">
      <w:headerReference w:type="default" r:id="rId9"/>
      <w:footerReference w:type="default" r:id="rId10"/>
      <w:pgSz w:w="12240" w:h="15840"/>
      <w:pgMar w:top="619" w:right="792" w:bottom="605" w:left="792"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C73"/>
        <w:sz w:val="14"/>
      </w:rPr>
      <w:t xml:space="preserve">District 3 evidence-storage capital decision | Planning memorandum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C73"/>
        <w:sz w:val="14"/>
      </w:rPr>
      <w:t>SANDHILL DNR | CONSERVATION LAW ENFORCEMENT | DISTRICT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