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Redcliffe Press operating plan</w:t>
      </w:r>
    </w:p>
    <w:p>
      <w:pPr>
        <w:spacing w:after="80"/>
      </w:pPr>
      <w:r>
        <w:rPr>
          <w:color w:val="40515D"/>
          <w:sz w:val="18"/>
        </w:rPr>
        <w:t>Limited council-publication call-off | 1 July-30 September 2026 | decision copy for Legal, contracting and delivery stakeholders</w:t>
      </w:r>
    </w:p>
    <w:tbl>
      <w:tblPr>
        <w:tblStyle w:val="TableGrid"/>
        <w:tblW w:type="auto" w:w="0"/>
        <w:jc w:val="center"/>
        <w:tblLayout w:type="fixed"/>
        <w:tblLook w:firstColumn="1" w:firstRow="1" w:lastColumn="0" w:lastRow="0" w:noHBand="0" w:noVBand="1" w:val="04A0"/>
      </w:tblPr>
      <w:tblGrid>
        <w:gridCol w:w="2646"/>
        <w:gridCol w:w="2646"/>
        <w:gridCol w:w="2646"/>
        <w:gridCol w:w="2646"/>
      </w:tblGrid>
      <w:tr>
        <w:trPr>
          <w:tblHeader w:val="true"/>
        </w:trPr>
        <w:tc>
          <w:tcPr>
            <w:tcW w:type="dxa" w:w="1944"/>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Approval record</w:t>
            </w:r>
          </w:p>
        </w:tc>
        <w:tc>
          <w:tcPr>
            <w:tcW w:type="dxa" w:w="2088"/>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Owner</w:t>
            </w:r>
          </w:p>
        </w:tc>
        <w:tc>
          <w:tcPr>
            <w:tcW w:type="dxa" w:w="3024"/>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Status / timing</w:t>
            </w:r>
          </w:p>
        </w:tc>
        <w:tc>
          <w:tcPr>
            <w:tcW w:type="dxa" w:w="3485"/>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Evidence</w:t>
            </w:r>
          </w:p>
        </w:tc>
      </w:tr>
      <w:tr>
        <w:trPr>
          <w:cantSplit/>
        </w:trPr>
        <w:tc>
          <w:tcPr>
            <w:tcW w:type="dxa" w:w="194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Legal call-off approval</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Saoirse Alcantara</w:t>
            </w:r>
          </w:p>
        </w:tc>
        <w:tc>
          <w:tcPr>
            <w:tcW w:type="dxa" w:w="302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Required by 29 Jun before commitment</w:t>
            </w:r>
          </w:p>
        </w:tc>
        <w:tc>
          <w:tcPr>
            <w:tcW w:type="dxa" w:w="348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Recorded approval / counsel decision</w:t>
            </w:r>
          </w:p>
        </w:tc>
      </w:tr>
      <w:tr>
        <w:trPr>
          <w:cantSplit/>
        </w:trPr>
        <w:tc>
          <w:tcPr>
            <w:tcW w:type="dxa" w:w="194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Quotation or specialist exception</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Petra Khouri; Saoirse approves exception</w:t>
            </w:r>
          </w:p>
        </w:tc>
        <w:tc>
          <w:tcPr>
            <w:tcW w:type="dxa" w:w="302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Required before affected supplier instruction</w:t>
            </w:r>
          </w:p>
        </w:tc>
        <w:tc>
          <w:tcPr>
            <w:tcW w:type="dxa" w:w="348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Comparison record or line-specific exception record</w:t>
            </w:r>
          </w:p>
        </w:tc>
      </w:tr>
      <w:tr>
        <w:trPr>
          <w:cantSplit/>
        </w:trPr>
        <w:tc>
          <w:tcPr>
            <w:tcW w:type="dxa" w:w="194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Accessibility release</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Josefa Guerrero</w:t>
            </w:r>
          </w:p>
        </w:tc>
        <w:tc>
          <w:tcPr>
            <w:tcW w:type="dxa" w:w="302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Required for each final public PDF before release</w:t>
            </w:r>
          </w:p>
        </w:tc>
        <w:tc>
          <w:tcPr>
            <w:tcW w:type="dxa" w:w="348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Final artifact, test record and sign-off</w:t>
            </w:r>
          </w:p>
        </w:tc>
      </w:tr>
      <w:tr>
        <w:trPr>
          <w:cantSplit/>
        </w:trPr>
        <w:tc>
          <w:tcPr>
            <w:tcW w:type="dxa" w:w="194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Final call-off authorisation</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Petra Khouri</w:t>
            </w:r>
          </w:p>
        </w:tc>
        <w:tc>
          <w:tcPr>
            <w:tcW w:type="dxa" w:w="302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After Legal approval and route record</w:t>
            </w:r>
          </w:p>
        </w:tc>
        <w:tc>
          <w:tcPr>
            <w:tcW w:type="dxa" w:w="348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Authorisation status in control file</w:t>
            </w:r>
          </w:p>
        </w:tc>
      </w:tr>
    </w:tbl>
    <w:p>
      <w:pPr>
        <w:pStyle w:val="Heading1"/>
      </w:pPr>
      <w:r>
        <w:t>1. Purpose, scope and source basis</w:t>
      </w:r>
    </w:p>
    <w:p>
      <w:r>
        <w:rPr>
          <w:b/>
        </w:rPr>
        <w:t xml:space="preserve">Purpose. </w:t>
      </w:r>
      <w:r>
        <w:t>Control the three-month Redcliffe Press council-publication call-off so Saoirse Alcantara can make the Legal approval decision and Bohdan Gallagher can schedule proof, release, delivery and receipt work without treating this plan as a supplier commitment. The plan governs the three monthly cycles from approval through closeout.</w:t>
      </w:r>
    </w:p>
    <w:p>
      <w:r>
        <w:rPr>
          <w:b/>
        </w:rPr>
        <w:t xml:space="preserve">Source and value basis. </w:t>
      </w:r>
      <w:r>
        <w:t>Derived only from redcliffe_press_control_pack.pdf, static as at 20 June 2026. Amounts are GBP excluding VAT. No live market check, quotation result, legal authority or supplier commitment is assumed.</w:t>
      </w:r>
    </w:p>
    <w:tbl>
      <w:tblPr>
        <w:tblStyle w:val="TableGrid"/>
        <w:tblW w:type="auto" w:w="0"/>
        <w:jc w:val="center"/>
        <w:tblLayout w:type="fixed"/>
        <w:tblLook w:firstColumn="1" w:firstRow="1" w:lastColumn="0" w:lastRow="0" w:noHBand="0" w:noVBand="1" w:val="04A0"/>
      </w:tblPr>
      <w:tblGrid>
        <w:gridCol w:w="5292"/>
        <w:gridCol w:w="5292"/>
      </w:tblGrid>
      <w:tr>
        <w:trPr>
          <w:tblHeader w:val="true"/>
        </w:trPr>
        <w:tc>
          <w:tcPr>
            <w:tcW w:type="dxa" w:w="1800"/>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Status</w:t>
            </w:r>
          </w:p>
        </w:tc>
        <w:tc>
          <w:tcPr>
            <w:tcW w:type="dxa" w:w="8741"/>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Instruction / boundary</w:t>
            </w:r>
          </w:p>
        </w:tc>
      </w:tr>
      <w:tr>
        <w:trPr>
          <w:cantSplit/>
        </w:trPr>
        <w:tc>
          <w:tcPr>
            <w:tcW w:type="dxa" w:w="18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Source fact</w:t>
            </w:r>
          </w:p>
        </w:tc>
        <w:tc>
          <w:tcPr>
            <w:tcW w:type="dxa" w:w="874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Preceding period is 1 Apr-30 Jun 2026; call-off is 1 Jul-30 Sep 2026. The source ceiling is GBP 14,000.00.</w:t>
            </w:r>
          </w:p>
        </w:tc>
      </w:tr>
      <w:tr>
        <w:trPr>
          <w:cantSplit/>
        </w:trPr>
        <w:tc>
          <w:tcPr>
            <w:tcW w:type="dxa" w:w="1800"/>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Working assumption</w:t>
            </w:r>
          </w:p>
        </w:tc>
        <w:tc>
          <w:tcPr>
            <w:tcW w:type="dxa" w:w="8741"/>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The source milestone dates remain the planning constraints. Bohdan records content-owner confirmation and delivery-booking details; the source does not identify a specific council site.</w:t>
            </w:r>
          </w:p>
        </w:tc>
      </w:tr>
      <w:tr>
        <w:trPr>
          <w:cantSplit/>
        </w:trPr>
        <w:tc>
          <w:tcPr>
            <w:tcW w:type="dxa" w:w="18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Decision still required</w:t>
            </w:r>
          </w:p>
        </w:tc>
        <w:tc>
          <w:tcPr>
            <w:tcW w:type="dxa" w:w="874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Saoirse records Legal approval before commitment. Petra records the routine quotation route and, for September specialist activity, the exception approval before supplier instruction.</w:t>
            </w:r>
          </w:p>
        </w:tc>
      </w:tr>
      <w:tr>
        <w:trPr>
          <w:cantSplit/>
        </w:trPr>
        <w:tc>
          <w:tcPr>
            <w:tcW w:type="dxa" w:w="1800"/>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Update trigger</w:t>
            </w:r>
          </w:p>
        </w:tc>
        <w:tc>
          <w:tcPr>
            <w:tcW w:type="dxa" w:w="8741"/>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Petra updates this plan and the workbook before affected release/commitment when quantity, rate, scope, specialist route, accessibility decision or delivery timing changes.</w:t>
            </w:r>
          </w:p>
        </w:tc>
      </w:tr>
    </w:tbl>
    <w:p>
      <w:pPr>
        <w:pStyle w:val="Heading1"/>
      </w:pPr>
      <w:r>
        <w:t>2. Roles and hand-offs</w:t>
      </w:r>
    </w:p>
    <w:tbl>
      <w:tblPr>
        <w:tblStyle w:val="TableGrid"/>
        <w:tblW w:type="auto" w:w="0"/>
        <w:jc w:val="center"/>
        <w:tblLayout w:type="fixed"/>
        <w:tblLook w:firstColumn="1" w:firstRow="1" w:lastColumn="0" w:lastRow="0" w:noHBand="0" w:noVBand="1" w:val="04A0"/>
      </w:tblPr>
      <w:tblGrid>
        <w:gridCol w:w="3528"/>
        <w:gridCol w:w="3528"/>
        <w:gridCol w:w="3528"/>
      </w:tblGrid>
      <w:tr>
        <w:trPr>
          <w:tblHeader w:val="true"/>
        </w:trPr>
        <w:tc>
          <w:tcPr>
            <w:tcW w:type="dxa" w:w="2664"/>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Role</w:t>
            </w:r>
          </w:p>
        </w:tc>
        <w:tc>
          <w:tcPr>
            <w:tcW w:type="dxa" w:w="5400"/>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Action / hand-off</w:t>
            </w:r>
          </w:p>
        </w:tc>
        <w:tc>
          <w:tcPr>
            <w:tcW w:type="dxa" w:w="2477"/>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Evidence</w:t>
            </w:r>
          </w:p>
        </w:tc>
      </w:tr>
      <w:tr>
        <w:trPr>
          <w:cantSplit/>
        </w:trPr>
        <w:tc>
          <w:tcPr>
            <w:tcW w:type="dxa" w:w="266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Petra Khouri - Administrative Services Manager</w:t>
            </w:r>
          </w:p>
        </w:tc>
        <w:tc>
          <w:tcPr>
            <w:tcW w:type="dxa" w:w="54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Control owner; keeps authorisation status, budget and plan current; decides schedule/budget response and closeout.</w:t>
            </w:r>
          </w:p>
        </w:tc>
        <w:tc>
          <w:tcPr>
            <w:tcW w:type="dxa" w:w="2477"/>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Approval register, update log, variance decision, closeout pack.</w:t>
            </w:r>
          </w:p>
        </w:tc>
      </w:tr>
      <w:tr>
        <w:trPr>
          <w:cantSplit/>
        </w:trPr>
        <w:tc>
          <w:tcPr>
            <w:tcW w:type="dxa" w:w="266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Saoirse Alcantara - Legal Counsel</w:t>
            </w:r>
          </w:p>
        </w:tc>
        <w:tc>
          <w:tcPr>
            <w:tcW w:type="dxa" w:w="54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Approves the call-off/control route before commitment; approves specialist quotation exception and any mandatory-accessibility exception. Never retrospective.</w:t>
            </w:r>
          </w:p>
        </w:tc>
        <w:tc>
          <w:tcPr>
            <w:tcW w:type="dxa" w:w="2477"/>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Counsel approval and exception decision.</w:t>
            </w:r>
          </w:p>
        </w:tc>
      </w:tr>
      <w:tr>
        <w:trPr>
          <w:cantSplit/>
        </w:trPr>
        <w:tc>
          <w:tcPr>
            <w:tcW w:type="dxa" w:w="266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Bohdan Gallagher - Publications Coordinator</w:t>
            </w:r>
          </w:p>
        </w:tc>
        <w:tc>
          <w:tcPr>
            <w:tcW w:type="dxa" w:w="54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Books the source dates, obtains content-freeze and proof evidence, issues only authorised release, records delivery quantity/condition and discrepancies.</w:t>
            </w:r>
          </w:p>
        </w:tc>
        <w:tc>
          <w:tcPr>
            <w:tcW w:type="dxa" w:w="2477"/>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Schedule, freeze confirmation, proof approval, delivery/receipt log.</w:t>
            </w:r>
          </w:p>
        </w:tc>
      </w:tr>
      <w:tr>
        <w:trPr>
          <w:cantSplit/>
        </w:trPr>
        <w:tc>
          <w:tcPr>
            <w:tcW w:type="dxa" w:w="266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Josefa Guerrero - Accessibility Reviewer</w:t>
            </w:r>
          </w:p>
        </w:tc>
        <w:tc>
          <w:tcPr>
            <w:tcW w:type="dxa" w:w="54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Tests final public artifacts, records applicable mandatory checks and sign-off, and places a hold/escalation when a defect is not corrected.</w:t>
            </w:r>
          </w:p>
        </w:tc>
        <w:tc>
          <w:tcPr>
            <w:tcW w:type="dxa" w:w="2477"/>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Final file version, test record, sign-off and exception evidence.</w:t>
            </w:r>
          </w:p>
        </w:tc>
      </w:tr>
    </w:tbl>
    <w:p>
      <w:r>
        <w:br w:type="page"/>
      </w:r>
    </w:p>
    <w:p>
      <w:pPr>
        <w:pStyle w:val="Heading1"/>
      </w:pPr>
      <w:r>
        <w:t>3. Period comparison and call-off financial control</w:t>
      </w:r>
    </w:p>
    <w:p>
      <w:r>
        <w:t>The period control total has the same source definition in both periods: eligible supplier cost (Production + Setup + Delivery), plus postal distribution pass-through, plus the 7.5% contingency reserve. Postal pass-through is excluded from the contingency base. The workbook is the editable calculation record.</w:t>
      </w:r>
    </w:p>
    <w:tbl>
      <w:tblPr>
        <w:tblStyle w:val="TableGrid"/>
        <w:tblW w:type="auto" w:w="0"/>
        <w:jc w:val="center"/>
        <w:tblLayout w:type="fixed"/>
        <w:tblLook w:firstColumn="1" w:firstRow="1" w:lastColumn="0" w:lastRow="0" w:noHBand="0" w:noVBand="1" w:val="04A0"/>
      </w:tblPr>
      <w:tblGrid>
        <w:gridCol w:w="2646"/>
        <w:gridCol w:w="2646"/>
        <w:gridCol w:w="2646"/>
        <w:gridCol w:w="2646"/>
      </w:tblGrid>
      <w:tr>
        <w:trPr>
          <w:tblHeader w:val="true"/>
        </w:trPr>
        <w:tc>
          <w:tcPr>
            <w:tcW w:type="dxa" w:w="3571"/>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Basis</w:t>
            </w:r>
          </w:p>
        </w:tc>
        <w:tc>
          <w:tcPr>
            <w:tcW w:type="dxa" w:w="2088"/>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1 Apr-30 Jun 2026</w:t>
            </w:r>
          </w:p>
        </w:tc>
        <w:tc>
          <w:tcPr>
            <w:tcW w:type="dxa" w:w="2088"/>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1 Jul-30 Sep 2026</w:t>
            </w:r>
          </w:p>
        </w:tc>
        <w:tc>
          <w:tcPr>
            <w:tcW w:type="dxa" w:w="2794"/>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Call-off less preceding</w:t>
            </w:r>
          </w:p>
        </w:tc>
      </w:tr>
      <w:tr>
        <w:trPr>
          <w:cantSplit/>
        </w:trPr>
        <w:tc>
          <w:tcPr>
            <w:tcW w:type="dxa" w:w="357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Eligible supplier cost subtotal</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GBP 5,466.00</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GBP 11,068.00</w:t>
            </w:r>
          </w:p>
        </w:tc>
        <w:tc>
          <w:tcPr>
            <w:tcW w:type="dxa" w:w="279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GBP 5,602.00</w:t>
            </w:r>
          </w:p>
        </w:tc>
      </w:tr>
      <w:tr>
        <w:trPr>
          <w:cantSplit/>
        </w:trPr>
        <w:tc>
          <w:tcPr>
            <w:tcW w:type="dxa" w:w="3571"/>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Postal distribution pass-through</w:t>
            </w:r>
          </w:p>
        </w:tc>
        <w:tc>
          <w:tcPr>
            <w:tcW w:type="dxa" w:w="2088"/>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GBP 900.00</w:t>
            </w:r>
          </w:p>
        </w:tc>
        <w:tc>
          <w:tcPr>
            <w:tcW w:type="dxa" w:w="2088"/>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GBP 1,260.00</w:t>
            </w:r>
          </w:p>
        </w:tc>
        <w:tc>
          <w:tcPr>
            <w:tcW w:type="dxa" w:w="2794"/>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GBP 360.00</w:t>
            </w:r>
          </w:p>
        </w:tc>
      </w:tr>
      <w:tr>
        <w:trPr>
          <w:cantSplit/>
        </w:trPr>
        <w:tc>
          <w:tcPr>
            <w:tcW w:type="dxa" w:w="357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Contingency reserve at 7.5%</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GBP 409.95</w:t>
            </w:r>
          </w:p>
        </w:tc>
        <w:tc>
          <w:tcPr>
            <w:tcW w:type="dxa" w:w="2088"/>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GBP 830.10</w:t>
            </w:r>
          </w:p>
        </w:tc>
        <w:tc>
          <w:tcPr>
            <w:tcW w:type="dxa" w:w="2794"/>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GBP 420.15</w:t>
            </w:r>
          </w:p>
        </w:tc>
      </w:tr>
      <w:tr>
        <w:trPr>
          <w:cantSplit/>
        </w:trPr>
        <w:tc>
          <w:tcPr>
            <w:tcW w:type="dxa" w:w="3571"/>
            <w:vAlign w:val="top"/>
            <w:tcMar>
              <w:top w:w="55" w:type="dxa"/>
              <w:start w:w="70" w:type="dxa"/>
              <w:bottom w:w="55" w:type="dxa"/>
              <w:end w:w="70" w:type="dxa"/>
            </w:tcMar>
            <w:shd w:fill="DDEBF7"/>
          </w:tcPr>
          <w:p>
            <w:pPr>
              <w:spacing w:after="0" w:before="0" w:line="228" w:lineRule="auto"/>
              <w:jc w:val="left"/>
            </w:pPr>
            <w:r/>
            <w:r>
              <w:rPr>
                <w:rFonts w:ascii="Arial" w:hAnsi="Arial" w:eastAsia="Arial"/>
                <w:b/>
                <w:color w:val="172A33"/>
                <w:sz w:val="14"/>
              </w:rPr>
              <w:t>Period control total</w:t>
            </w:r>
          </w:p>
        </w:tc>
        <w:tc>
          <w:tcPr>
            <w:tcW w:type="dxa" w:w="2088"/>
            <w:vAlign w:val="top"/>
            <w:tcMar>
              <w:top w:w="55" w:type="dxa"/>
              <w:start w:w="70" w:type="dxa"/>
              <w:bottom w:w="55" w:type="dxa"/>
              <w:end w:w="70" w:type="dxa"/>
            </w:tcMar>
            <w:shd w:fill="DDEBF7"/>
          </w:tcPr>
          <w:p>
            <w:pPr>
              <w:spacing w:after="0" w:before="0" w:line="228" w:lineRule="auto"/>
              <w:jc w:val="right"/>
            </w:pPr>
            <w:r/>
            <w:r>
              <w:rPr>
                <w:rFonts w:ascii="Arial" w:hAnsi="Arial" w:eastAsia="Arial"/>
                <w:b/>
                <w:color w:val="172A33"/>
                <w:sz w:val="14"/>
              </w:rPr>
              <w:t>GBP 6,775.95</w:t>
            </w:r>
          </w:p>
        </w:tc>
        <w:tc>
          <w:tcPr>
            <w:tcW w:type="dxa" w:w="2088"/>
            <w:vAlign w:val="top"/>
            <w:tcMar>
              <w:top w:w="55" w:type="dxa"/>
              <w:start w:w="70" w:type="dxa"/>
              <w:bottom w:w="55" w:type="dxa"/>
              <w:end w:w="70" w:type="dxa"/>
            </w:tcMar>
            <w:shd w:fill="DDEBF7"/>
          </w:tcPr>
          <w:p>
            <w:pPr>
              <w:spacing w:after="0" w:before="0" w:line="228" w:lineRule="auto"/>
              <w:jc w:val="right"/>
            </w:pPr>
            <w:r/>
            <w:r>
              <w:rPr>
                <w:rFonts w:ascii="Arial" w:hAnsi="Arial" w:eastAsia="Arial"/>
                <w:b/>
                <w:color w:val="172A33"/>
                <w:sz w:val="14"/>
              </w:rPr>
              <w:t>GBP 13,158.10</w:t>
            </w:r>
          </w:p>
        </w:tc>
        <w:tc>
          <w:tcPr>
            <w:tcW w:type="dxa" w:w="2794"/>
            <w:vAlign w:val="top"/>
            <w:tcMar>
              <w:top w:w="55" w:type="dxa"/>
              <w:start w:w="70" w:type="dxa"/>
              <w:bottom w:w="55" w:type="dxa"/>
              <w:end w:w="70" w:type="dxa"/>
            </w:tcMar>
            <w:shd w:fill="DDEBF7"/>
          </w:tcPr>
          <w:p>
            <w:pPr>
              <w:spacing w:after="0" w:before="0" w:line="228" w:lineRule="auto"/>
              <w:jc w:val="right"/>
            </w:pPr>
            <w:r/>
            <w:r>
              <w:rPr>
                <w:rFonts w:ascii="Arial" w:hAnsi="Arial" w:eastAsia="Arial"/>
                <w:b/>
                <w:color w:val="172A33"/>
                <w:sz w:val="14"/>
              </w:rPr>
              <w:t>GBP 6,382.15</w:t>
            </w:r>
          </w:p>
        </w:tc>
      </w:tr>
      <w:tr>
        <w:trPr>
          <w:cantSplit/>
        </w:trPr>
        <w:tc>
          <w:tcPr>
            <w:tcW w:type="dxa" w:w="3571"/>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Approved call-off ceiling / headroom</w:t>
            </w:r>
          </w:p>
        </w:tc>
        <w:tc>
          <w:tcPr>
            <w:tcW w:type="dxa" w:w="2088"/>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n/a</w:t>
            </w:r>
          </w:p>
        </w:tc>
        <w:tc>
          <w:tcPr>
            <w:tcW w:type="dxa" w:w="2088"/>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GBP 14,000.00</w:t>
            </w:r>
          </w:p>
        </w:tc>
        <w:tc>
          <w:tcPr>
            <w:tcW w:type="dxa" w:w="2794"/>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4"/>
              </w:rPr>
              <w:t>GBP 841.90 headroom</w:t>
            </w:r>
          </w:p>
        </w:tc>
      </w:tr>
    </w:tbl>
    <w:p>
      <w:r>
        <w:rPr>
          <w:b/>
        </w:rPr>
        <w:t xml:space="preserve">Material variance decision. </w:t>
      </w:r>
      <w:r>
        <w:t>The increase is GBP 6,382.15 (94.2%). It is material because it exceeds both source thresholds: 15.0% and GBP 1,000.00. The headroom of GBP 841.90 is not authority for optional enhancements or a changed scope.</w:t>
      </w:r>
    </w:p>
    <w:p>
      <w:pPr>
        <w:pStyle w:val="Heading2"/>
      </w:pPr>
      <w:r>
        <w:t>What changed and why</w:t>
      </w:r>
    </w:p>
    <w:p>
      <w:pPr>
        <w:spacing w:after="28"/>
        <w:ind w:left="202" w:hanging="144"/>
      </w:pPr>
      <w:r>
        <w:rPr>
          <w:sz w:val="16"/>
        </w:rPr>
        <w:t>- Community Update moves from 9,750 to 12,000 copies and from GBP 0.40 to GBP 0.44 per copy, increasing its supplier cost from GBP 3,900.00 to GBP 5,280.00 (GBP 1,380.00). This is both a volume and rate driver.</w:t>
      </w:r>
    </w:p>
    <w:p>
      <w:pPr>
        <w:spacing w:after="28"/>
        <w:ind w:left="202" w:hanging="144"/>
      </w:pPr>
      <w:r>
        <w:rPr>
          <w:sz w:val="16"/>
        </w:rPr>
        <w:t>- September adds specialist tactile activity with no preceding comparator: 180 raised-line/braille foldouts at GBP 15.50, GBP 875.00 tactile tooling, and GBP 110.00 secure courier (GBP 3,775.00). It is a mix/one-off timing driver, not a fabricated quote comparison.</w:t>
      </w:r>
    </w:p>
    <w:p>
      <w:pPr>
        <w:spacing w:after="28"/>
        <w:ind w:left="202" w:hanging="144"/>
      </w:pPr>
      <w:r>
        <w:rPr>
          <w:sz w:val="16"/>
        </w:rPr>
        <w:t>- Other source changes are pre-press/proof package GBP 540.00 to GBP 720.00, large-print packs 90 to 120 at GBP 3.40 to GBP 3.60, delivery slots GBP 480.00 to GBP 555.00, committee inserts GBP 240.00 to GBP 306.00, and postal pass-through GBP 900.00 to GBP 1,260.00.</w:t>
      </w:r>
    </w:p>
    <w:p>
      <w:r>
        <w:rPr>
          <w:b/>
        </w:rPr>
        <w:t xml:space="preserve">Budget rule. </w:t>
      </w:r>
      <w:r>
        <w:t>Bohdan tells Petra before instruction if quantities, rates, delivery timing, specialist route or accessibility decision changes. Petra updates redcliffe_press_budget.xlsx and obtains the relevant approval before the affected work proceeds; a material variance is escalated to Saoirse and Petra before commitment or release.</w:t>
      </w:r>
    </w:p>
    <w:p>
      <w:r>
        <w:br w:type="page"/>
      </w:r>
    </w:p>
    <w:p>
      <w:pPr>
        <w:pStyle w:val="Heading1"/>
      </w:pPr>
      <w:r>
        <w:t>4. Executing schedule and release gates</w:t>
      </w:r>
    </w:p>
    <w:p>
      <w:r>
        <w:t>Do not collapse the sequence: call-off/route approval -&gt; content ready and frozen -&gt; proof approval -&gt; final-PDF accessibility clearance -&gt; production release -&gt; public release -&gt; delivery/receipt -&gt; monthly review/closeout. Bohdan keeps the issue evidence together by month.</w:t>
      </w:r>
    </w:p>
    <w:tbl>
      <w:tblPr>
        <w:tblStyle w:val="TableGrid"/>
        <w:tblW w:type="auto" w:w="0"/>
        <w:jc w:val="center"/>
        <w:tblLayout w:type="fixed"/>
        <w:tblLook w:firstColumn="1" w:firstRow="1" w:lastColumn="0" w:lastRow="0" w:noHBand="0" w:noVBand="1" w:val="04A0"/>
      </w:tblPr>
      <w:tblGrid>
        <w:gridCol w:w="2117"/>
        <w:gridCol w:w="2117"/>
        <w:gridCol w:w="2117"/>
        <w:gridCol w:w="2117"/>
        <w:gridCol w:w="2117"/>
      </w:tblGrid>
      <w:tr>
        <w:trPr>
          <w:tblHeader w:val="true"/>
        </w:trPr>
        <w:tc>
          <w:tcPr>
            <w:tcW w:type="dxa" w:w="1656"/>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Gate / activity</w:t>
            </w:r>
          </w:p>
        </w:tc>
        <w:tc>
          <w:tcPr>
            <w:tcW w:type="dxa" w:w="1512"/>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Timing</w:t>
            </w:r>
          </w:p>
        </w:tc>
        <w:tc>
          <w:tcPr>
            <w:tcW w:type="dxa" w:w="1555"/>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Owner</w:t>
            </w:r>
          </w:p>
        </w:tc>
        <w:tc>
          <w:tcPr>
            <w:tcW w:type="dxa" w:w="3413"/>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Instruction and dependency</w:t>
            </w:r>
          </w:p>
        </w:tc>
        <w:tc>
          <w:tcPr>
            <w:tcW w:type="dxa" w:w="2405"/>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Output / failure response</w:t>
            </w:r>
          </w:p>
        </w:tc>
      </w:tr>
      <w:tr>
        <w:trPr>
          <w:cantSplit/>
        </w:trPr>
        <w:tc>
          <w:tcPr>
            <w:tcW w:type="dxa" w:w="165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Call-off authority</w:t>
            </w:r>
          </w:p>
        </w:tc>
        <w:tc>
          <w:tcPr>
            <w:tcW w:type="dxa" w:w="1512"/>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By 29 Jun</w:t>
            </w:r>
          </w:p>
        </w:tc>
        <w:tc>
          <w:tcPr>
            <w:tcW w:type="dxa" w:w="155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Saoirse then Petra</w:t>
            </w:r>
          </w:p>
        </w:tc>
        <w:tc>
          <w:tcPr>
            <w:tcW w:type="dxa" w:w="3413"/>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Legal approval and authorisation before any irreversible commitment.</w:t>
            </w:r>
          </w:p>
        </w:tc>
        <w:tc>
          <w:tcPr>
            <w:tcW w:type="dxa" w:w="240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Counsel approval; authorisation status. If absent: hold supplier instruction.</w:t>
            </w:r>
          </w:p>
        </w:tc>
      </w:tr>
      <w:tr>
        <w:trPr>
          <w:cantSplit/>
        </w:trPr>
        <w:tc>
          <w:tcPr>
            <w:tcW w:type="dxa" w:w="1656"/>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Quotation / exception route</w:t>
            </w:r>
          </w:p>
        </w:tc>
        <w:tc>
          <w:tcPr>
            <w:tcW w:type="dxa" w:w="1512"/>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Before each affected instruction; Sep specialist no later than 8 Sep</w:t>
            </w:r>
          </w:p>
        </w:tc>
        <w:tc>
          <w:tcPr>
            <w:tcW w:type="dxa" w:w="155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Petra; Saoirse approves exception</w:t>
            </w:r>
          </w:p>
        </w:tc>
        <w:tc>
          <w:tcPr>
            <w:tcW w:type="dxa" w:w="3413"/>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Routine comparable work has the written-quotation record. Specialist route is decided before proof/instruction.</w:t>
            </w:r>
          </w:p>
        </w:tc>
        <w:tc>
          <w:tcPr>
            <w:tcW w:type="dxa" w:w="240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Comparison or exception record. If incomplete: no commitment.</w:t>
            </w:r>
          </w:p>
        </w:tc>
      </w:tr>
      <w:tr>
        <w:trPr>
          <w:cantSplit/>
        </w:trPr>
        <w:tc>
          <w:tcPr>
            <w:tcW w:type="dxa" w:w="165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Content ready and copy frozen</w:t>
            </w:r>
          </w:p>
        </w:tc>
        <w:tc>
          <w:tcPr>
            <w:tcW w:type="dxa" w:w="1512"/>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Jul 3/7; Aug 3/6; Sep 3/7</w:t>
            </w:r>
          </w:p>
        </w:tc>
        <w:tc>
          <w:tcPr>
            <w:tcW w:type="dxa" w:w="155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Bohdan</w:t>
            </w:r>
          </w:p>
        </w:tc>
        <w:tc>
          <w:tcPr>
            <w:tcW w:type="dxa" w:w="3413"/>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Record content-owner readiness, then freeze publication inputs before proof. Change after freeze returns to control/approval.</w:t>
            </w:r>
          </w:p>
        </w:tc>
        <w:tc>
          <w:tcPr>
            <w:tcW w:type="dxa" w:w="240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Content-ready and freeze confirmation.</w:t>
            </w:r>
          </w:p>
        </w:tc>
      </w:tr>
      <w:tr>
        <w:trPr>
          <w:cantSplit/>
        </w:trPr>
        <w:tc>
          <w:tcPr>
            <w:tcW w:type="dxa" w:w="1656"/>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Supplier proof and approval</w:t>
            </w:r>
          </w:p>
        </w:tc>
        <w:tc>
          <w:tcPr>
            <w:tcW w:type="dxa" w:w="1512"/>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Proof due: Jul 10; Aug 10; Sep 11. Approval: Jul 13; Aug 12; Sep 14</w:t>
            </w:r>
          </w:p>
        </w:tc>
        <w:tc>
          <w:tcPr>
            <w:tcW w:type="dxa" w:w="155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Bohdan coordinates; content approval recorded</w:t>
            </w:r>
          </w:p>
        </w:tc>
        <w:tc>
          <w:tcPr>
            <w:tcW w:type="dxa" w:w="3413"/>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Approve substantive content, quantity/specification and delivery arrangement before production release.</w:t>
            </w:r>
          </w:p>
        </w:tc>
        <w:tc>
          <w:tcPr>
            <w:tcW w:type="dxa" w:w="240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Versioned proof and proof-approval record. Rework holds release.</w:t>
            </w:r>
          </w:p>
        </w:tc>
      </w:tr>
      <w:tr>
        <w:trPr>
          <w:cantSplit/>
        </w:trPr>
        <w:tc>
          <w:tcPr>
            <w:tcW w:type="dxa" w:w="165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Mandatory accessibility review</w:t>
            </w:r>
          </w:p>
        </w:tc>
        <w:tc>
          <w:tcPr>
            <w:tcW w:type="dxa" w:w="1512"/>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Jul 14; Aug 13; Sep 15</w:t>
            </w:r>
          </w:p>
        </w:tc>
        <w:tc>
          <w:tcPr>
            <w:tcW w:type="dxa" w:w="155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Josefa</w:t>
            </w:r>
          </w:p>
        </w:tc>
        <w:tc>
          <w:tcPr>
            <w:tcW w:type="dxa" w:w="3413"/>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Review final public PDF before public release and before relevant output is treated as fully accepted.</w:t>
            </w:r>
          </w:p>
        </w:tc>
        <w:tc>
          <w:tcPr>
            <w:tcW w:type="dxa" w:w="240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Final artifact, test record, sign-off. Failed MUST check blocks release.</w:t>
            </w:r>
          </w:p>
        </w:tc>
      </w:tr>
      <w:tr>
        <w:trPr>
          <w:cantSplit/>
        </w:trPr>
        <w:tc>
          <w:tcPr>
            <w:tcW w:type="dxa" w:w="1656"/>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Production release</w:t>
            </w:r>
          </w:p>
        </w:tc>
        <w:tc>
          <w:tcPr>
            <w:tcW w:type="dxa" w:w="1512"/>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Jul 15; Aug 14; Sep 16</w:t>
            </w:r>
          </w:p>
        </w:tc>
        <w:tc>
          <w:tcPr>
            <w:tcW w:type="dxa" w:w="155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Bohdan</w:t>
            </w:r>
          </w:p>
        </w:tc>
        <w:tc>
          <w:tcPr>
            <w:tcW w:type="dxa" w:w="3413"/>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Only after call-off/route, freeze, proof and accessibility gates are recorded.</w:t>
            </w:r>
          </w:p>
        </w:tc>
        <w:tc>
          <w:tcPr>
            <w:tcW w:type="dxa" w:w="240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Authorised production-release record.</w:t>
            </w:r>
          </w:p>
        </w:tc>
      </w:tr>
      <w:tr>
        <w:trPr>
          <w:cantSplit/>
        </w:trPr>
        <w:tc>
          <w:tcPr>
            <w:tcW w:type="dxa" w:w="165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Public release</w:t>
            </w:r>
          </w:p>
        </w:tc>
        <w:tc>
          <w:tcPr>
            <w:tcW w:type="dxa" w:w="1512"/>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Jul 17; Aug 17; Sep 18</w:t>
            </w:r>
          </w:p>
        </w:tc>
        <w:tc>
          <w:tcPr>
            <w:tcW w:type="dxa" w:w="155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Bohdan</w:t>
            </w:r>
          </w:p>
        </w:tc>
        <w:tc>
          <w:tcPr>
            <w:tcW w:type="dxa" w:w="3413"/>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Public release follows mandatory accessibility clearance and authorised release. No routine release on a failed or pending gate.</w:t>
            </w:r>
          </w:p>
        </w:tc>
        <w:tc>
          <w:tcPr>
            <w:tcW w:type="dxa" w:w="240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Released final-file version and release log.</w:t>
            </w:r>
          </w:p>
        </w:tc>
      </w:tr>
      <w:tr>
        <w:trPr>
          <w:cantSplit/>
        </w:trPr>
        <w:tc>
          <w:tcPr>
            <w:tcW w:type="dxa" w:w="1656"/>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Council-site delivery and receipt</w:t>
            </w:r>
          </w:p>
        </w:tc>
        <w:tc>
          <w:tcPr>
            <w:tcW w:type="dxa" w:w="1512"/>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Jul 22; Aug 24; Sep 28</w:t>
            </w:r>
          </w:p>
        </w:tc>
        <w:tc>
          <w:tcPr>
            <w:tcW w:type="dxa" w:w="155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Bohdan</w:t>
            </w:r>
          </w:p>
        </w:tc>
        <w:tc>
          <w:tcPr>
            <w:tcW w:type="dxa" w:w="3413"/>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Book 4,000 Community Update copies, 1,200 inserts and 40 large-print packs each issue; September also has 180 tactile foldouts. Confirm booking point in control file.</w:t>
            </w:r>
          </w:p>
        </w:tc>
        <w:tc>
          <w:tcPr>
            <w:tcW w:type="dxa" w:w="2405"/>
            <w:vAlign w:val="top"/>
            <w:tcMar>
              <w:top w:w="55" w:type="dxa"/>
              <w:start w:w="70" w:type="dxa"/>
              <w:bottom w:w="55" w:type="dxa"/>
              <w:end w:w="70" w:type="dxa"/>
            </w:tcMar>
            <w:shd w:fill="FFFFFF"/>
          </w:tcPr>
          <w:p>
            <w:pPr>
              <w:spacing w:after="0" w:before="0" w:line="228" w:lineRule="auto"/>
              <w:jc w:val="left"/>
            </w:pPr>
            <w:r/>
            <w:r>
              <w:rPr>
                <w:rFonts w:ascii="Arial" w:hAnsi="Arial" w:eastAsia="Arial"/>
                <w:b w:val="0"/>
                <w:color w:val="172A33"/>
                <w:sz w:val="13"/>
              </w:rPr>
              <w:t>Delivery evidence; quantity and condition receipt. Record discrepancy and do not accept unresolved defect.</w:t>
            </w:r>
          </w:p>
        </w:tc>
      </w:tr>
      <w:tr>
        <w:trPr>
          <w:cantSplit/>
        </w:trPr>
        <w:tc>
          <w:tcPr>
            <w:tcW w:type="dxa" w:w="165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Monthly review / closeout</w:t>
            </w:r>
          </w:p>
        </w:tc>
        <w:tc>
          <w:tcPr>
            <w:tcW w:type="dxa" w:w="1512"/>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Jul 24; Aug 26; Sep 30</w:t>
            </w:r>
          </w:p>
        </w:tc>
        <w:tc>
          <w:tcPr>
            <w:tcW w:type="dxa" w:w="155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Bohdan + Petra</w:t>
            </w:r>
          </w:p>
        </w:tc>
        <w:tc>
          <w:tcPr>
            <w:tcW w:type="dxa" w:w="3413"/>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Reconcile issue evidence and budget effects monthly. On 30 Sep close after final receipt and decision on any open discrepancy.</w:t>
            </w:r>
          </w:p>
        </w:tc>
        <w:tc>
          <w:tcPr>
            <w:tcW w:type="dxa" w:w="2405"/>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Monthly review; final cost information; closeout pack.</w:t>
            </w:r>
          </w:p>
        </w:tc>
      </w:tr>
    </w:tbl>
    <w:p>
      <w:r>
        <w:rPr>
          <w:b/>
        </w:rPr>
        <w:t xml:space="preserve">Acceptance and discrepancy. </w:t>
      </w:r>
      <w:r>
        <w:t>Bohdan compares delivered quantity and condition against the approved proof and delivery record. He logs a shortfall, damage, wrong version, late delivery or unresolved accessibility defect, keeps acceptance pending for the affected output, and sends the schedule/cost impact to Petra. Petra routes any approval or budget consequence to Saoirse where Legal decision is required.</w:t>
      </w:r>
    </w:p>
    <w:p>
      <w:r>
        <w:br w:type="page"/>
      </w:r>
    </w:p>
    <w:p>
      <w:pPr>
        <w:pStyle w:val="Heading1"/>
      </w:pPr>
      <w:r>
        <w:t>5. Quotation applicability and specialist boundary</w:t>
      </w:r>
    </w:p>
    <w:p>
      <w:r>
        <w:t>Control basis: the redcliffe_press_control_pack.pdf states the common expectation as three written quotations for routine publication work where scope is defined and offers can be meaningfully compared. It is a rule for that relevant class of procurement, not a universal rule for every print line.</w:t>
      </w:r>
    </w:p>
    <w:tbl>
      <w:tblPr>
        <w:tblStyle w:val="TableGrid"/>
        <w:tblW w:type="auto" w:w="0"/>
        <w:jc w:val="center"/>
        <w:tblLayout w:type="fixed"/>
        <w:tblLook w:firstColumn="1" w:firstRow="1" w:lastColumn="0" w:lastRow="0" w:noHBand="0" w:noVBand="1" w:val="04A0"/>
      </w:tblPr>
      <w:tblGrid>
        <w:gridCol w:w="3528"/>
        <w:gridCol w:w="3528"/>
        <w:gridCol w:w="3528"/>
      </w:tblGrid>
      <w:tr>
        <w:trPr>
          <w:tblHeader w:val="true"/>
        </w:trPr>
        <w:tc>
          <w:tcPr>
            <w:tcW w:type="dxa" w:w="1930"/>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Control</w:t>
            </w:r>
          </w:p>
        </w:tc>
        <w:tc>
          <w:tcPr>
            <w:tcW w:type="dxa" w:w="5011"/>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Operational boundary</w:t>
            </w:r>
          </w:p>
        </w:tc>
        <w:tc>
          <w:tcPr>
            <w:tcW w:type="dxa" w:w="3600"/>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4"/>
              </w:rPr>
              <w:t>Evidence / decision</w:t>
            </w:r>
          </w:p>
        </w:tc>
      </w:tr>
      <w:tr>
        <w:trPr>
          <w:cantSplit/>
        </w:trPr>
        <w:tc>
          <w:tcPr>
            <w:tcW w:type="dxa" w:w="1930"/>
            <w:vAlign w:val="top"/>
            <w:tcMar>
              <w:top w:w="55" w:type="dxa"/>
              <w:start w:w="70" w:type="dxa"/>
              <w:bottom w:w="55" w:type="dxa"/>
              <w:end w:w="70" w:type="dxa"/>
            </w:tcMar>
            <w:shd w:fill="E9F3EC"/>
          </w:tcPr>
          <w:p>
            <w:pPr>
              <w:spacing w:after="0" w:before="0" w:line="228" w:lineRule="auto"/>
              <w:jc w:val="left"/>
            </w:pPr>
            <w:r/>
            <w:r>
              <w:rPr>
                <w:rFonts w:ascii="Arial" w:hAnsi="Arial" w:eastAsia="Arial"/>
                <w:b/>
                <w:color w:val="172A33"/>
                <w:sz w:val="14"/>
              </w:rPr>
              <w:t>Routine comparable work</w:t>
            </w:r>
          </w:p>
        </w:tc>
        <w:tc>
          <w:tcPr>
            <w:tcW w:type="dxa" w:w="501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Use the three-written-quotation expectation only when offers can provide the same approved specification, accessibility characteristics, volume/quality, delivery window and commercial basis.</w:t>
            </w:r>
          </w:p>
        </w:tc>
        <w:tc>
          <w:tcPr>
            <w:tcW w:type="dxa" w:w="36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Bohdan/Petra retain scope; suppliers approached or considered; response status; written offers/equivalent evidence; commercial basis; decision outcome. Saoirse sees it before commitment if escalation is needed.</w:t>
            </w:r>
          </w:p>
        </w:tc>
      </w:tr>
      <w:tr>
        <w:trPr>
          <w:cantSplit/>
        </w:trPr>
        <w:tc>
          <w:tcPr>
            <w:tcW w:type="dxa" w:w="1930"/>
            <w:vAlign w:val="top"/>
            <w:tcMar>
              <w:top w:w="55" w:type="dxa"/>
              <w:start w:w="70" w:type="dxa"/>
              <w:bottom w:w="55" w:type="dxa"/>
              <w:end w:w="70" w:type="dxa"/>
            </w:tcMar>
            <w:shd w:fill="E9F3EC"/>
          </w:tcPr>
          <w:p>
            <w:pPr>
              <w:spacing w:after="0" w:before="0" w:line="228" w:lineRule="auto"/>
              <w:jc w:val="left"/>
            </w:pPr>
            <w:r/>
            <w:r>
              <w:rPr>
                <w:rFonts w:ascii="Arial" w:hAnsi="Arial" w:eastAsia="Arial"/>
                <w:b/>
                <w:color w:val="172A33"/>
                <w:sz w:val="14"/>
              </w:rPr>
              <w:t>Meaningful comparator</w:t>
            </w:r>
          </w:p>
        </w:tc>
        <w:tc>
          <w:tcPr>
            <w:tcW w:type="dxa" w:w="501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 count is meaningful only where capability, physical/digital specification, timing and commercial basis are genuinely comparable. A supplier list without comparable offers is not a meaningful test.</w:t>
            </w:r>
          </w:p>
        </w:tc>
        <w:tc>
          <w:tcPr>
            <w:tcW w:type="dxa" w:w="36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Record comparison basis and why the selected outcome meets it.</w:t>
            </w:r>
          </w:p>
        </w:tc>
      </w:tr>
      <w:tr>
        <w:trPr>
          <w:cantSplit/>
        </w:trPr>
        <w:tc>
          <w:tcPr>
            <w:tcW w:type="dxa" w:w="1930"/>
            <w:vAlign w:val="top"/>
            <w:tcMar>
              <w:top w:w="55" w:type="dxa"/>
              <w:start w:w="70" w:type="dxa"/>
              <w:bottom w:w="55" w:type="dxa"/>
              <w:end w:w="70" w:type="dxa"/>
            </w:tcMar>
            <w:shd w:fill="FFF4DB"/>
          </w:tcPr>
          <w:p>
            <w:pPr>
              <w:spacing w:after="0" w:before="0" w:line="228" w:lineRule="auto"/>
              <w:jc w:val="left"/>
            </w:pPr>
            <w:r/>
            <w:r>
              <w:rPr>
                <w:rFonts w:ascii="Arial" w:hAnsi="Arial" w:eastAsia="Arial"/>
                <w:b/>
                <w:color w:val="172A33"/>
                <w:sz w:val="14"/>
              </w:rPr>
              <w:t>Specialist no-comparator route</w:t>
            </w:r>
          </w:p>
        </w:tc>
        <w:tc>
          <w:tcPr>
            <w:tcW w:type="dxa" w:w="501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Applies line-specifically to September C11 tactile emergency-route foldout raised-line braille and C12 tactile master/braille tooling; C16 secure courier is related delivery. Raised-line thermoform/braille capability and fixed September window mean the source classifies the three-count test as not meaningful.</w:t>
            </w:r>
          </w:p>
        </w:tc>
        <w:tc>
          <w:tcPr>
            <w:tcW w:type="dxa" w:w="36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Do not invent quotations. Retain market-search/specialist capability evidence, line-specific rationale, source rate-card price-reasonableness, scope and conflict check, and complete record before commitment.</w:t>
            </w:r>
          </w:p>
        </w:tc>
      </w:tr>
      <w:tr>
        <w:trPr>
          <w:cantSplit/>
        </w:trPr>
        <w:tc>
          <w:tcPr>
            <w:tcW w:type="dxa" w:w="1930"/>
            <w:vAlign w:val="top"/>
            <w:tcMar>
              <w:top w:w="55" w:type="dxa"/>
              <w:start w:w="70" w:type="dxa"/>
              <w:bottom w:w="55" w:type="dxa"/>
              <w:end w:w="70" w:type="dxa"/>
            </w:tcMar>
            <w:shd w:fill="FFF4DB"/>
          </w:tcPr>
          <w:p>
            <w:pPr>
              <w:spacing w:after="0" w:before="0" w:line="228" w:lineRule="auto"/>
              <w:jc w:val="left"/>
            </w:pPr>
            <w:r/>
            <w:r>
              <w:rPr>
                <w:rFonts w:ascii="Arial" w:hAnsi="Arial" w:eastAsia="Arial"/>
                <w:b/>
                <w:color w:val="172A33"/>
                <w:sz w:val="14"/>
              </w:rPr>
              <w:t>Approval and stop</w:t>
            </w:r>
          </w:p>
        </w:tc>
        <w:tc>
          <w:tcPr>
            <w:tcW w:type="dxa" w:w="5011"/>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Petra prepares/owns the route record; Saoirse approves the exception before supplier instruction, no later than 8 Sep for the specialist line. The Legal approval is a real pre-commitment gate.</w:t>
            </w:r>
          </w:p>
        </w:tc>
        <w:tc>
          <w:tcPr>
            <w:tcW w:type="dxa" w:w="3600"/>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4"/>
              </w:rPr>
              <w:t>Status must be recorded. Missing evidence or approval = hold, escalate to Petra/Saoirse, update schedule and budget.</w:t>
            </w:r>
          </w:p>
        </w:tc>
      </w:tr>
    </w:tbl>
    <w:p>
      <w:pPr>
        <w:pStyle w:val="Heading2"/>
      </w:pPr>
      <w:r>
        <w:t>Quotation record fields</w:t>
      </w:r>
    </w:p>
    <w:p>
      <w:r>
        <w:t>For either route, the working record identifies affected work/scope, source line(s), suppliers approached or considered, response status, comparable specification/capability/timing basis, commercial basis, price-reasonableness check, conflict check, decision outcome, approver, date and retained evidence. A lack of meaningful comparators does not waive scope, conflict, price-reasonableness, approval or recordkeeping controls.</w:t>
      </w:r>
    </w:p>
    <w:p>
      <w:pPr>
        <w:pStyle w:val="Heading1"/>
      </w:pPr>
      <w:r>
        <w:t>6. Release evidence and change control</w:t>
      </w:r>
    </w:p>
    <w:p>
      <w:r>
        <w:t>At each monthly review, Petra confirms the approval status, proof/release evidence, delivery/receipt result and workbook variance. Retain approvals, quotations or specialist evidence, proof/version records, final accessible artifacts, Josefa's completed test/sign-off, delivery/receipt and discrepancy records, and final cost/headroom information in the closeout pack. Petra owns version changes during the call-off; the source pack remains the traceability basis.</w:t>
      </w:r>
    </w:p>
    <w:p>
      <w:r>
        <w:br w:type="page"/>
      </w:r>
    </w:p>
    <w:p>
      <w:pPr>
        <w:pStyle w:val="Heading1"/>
      </w:pPr>
      <w:r>
        <w:t>7. Accessibility: MUST release controls and SHOULD enhancements</w:t>
      </w:r>
    </w:p>
    <w:p>
      <w:r>
        <w:rPr>
          <w:b/>
        </w:rPr>
        <w:t xml:space="preserve">Control basis. </w:t>
      </w:r>
      <w:r>
        <w:t>The following classification is taken from redcliffe_press_control_pack.pdf. MUST is a release condition for the public-facing PDF; SHOULD is an advisory enhancement. Completing a SHOULD item is never evidence that the MUST release gate has passed.</w:t>
      </w:r>
    </w:p>
    <w:tbl>
      <w:tblPr>
        <w:tblStyle w:val="TableGrid"/>
        <w:tblW w:type="auto" w:w="0"/>
        <w:jc w:val="center"/>
        <w:tblLayout w:type="fixed"/>
        <w:tblLook w:firstColumn="1" w:firstRow="1" w:lastColumn="0" w:lastRow="0" w:noHBand="0" w:noVBand="1" w:val="04A0"/>
      </w:tblPr>
      <w:tblGrid>
        <w:gridCol w:w="3528"/>
        <w:gridCol w:w="3528"/>
        <w:gridCol w:w="3528"/>
      </w:tblGrid>
      <w:tr>
        <w:trPr>
          <w:tblHeader w:val="true"/>
        </w:trPr>
        <w:tc>
          <w:tcPr>
            <w:tcW w:type="dxa" w:w="936"/>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Class</w:t>
            </w:r>
          </w:p>
        </w:tc>
        <w:tc>
          <w:tcPr>
            <w:tcW w:type="dxa" w:w="5976"/>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Control</w:t>
            </w:r>
          </w:p>
        </w:tc>
        <w:tc>
          <w:tcPr>
            <w:tcW w:type="dxa" w:w="3629"/>
            <w:vAlign w:val="top"/>
            <w:tcMar>
              <w:top w:w="55" w:type="dxa"/>
              <w:start w:w="70" w:type="dxa"/>
              <w:bottom w:w="55" w:type="dxa"/>
              <w:end w:w="70" w:type="dxa"/>
            </w:tcMar>
            <w:shd w:fill="2A5C72"/>
          </w:tcPr>
          <w:p>
            <w:pPr>
              <w:spacing w:after="0" w:before="0" w:line="228" w:lineRule="auto"/>
              <w:jc w:val="center"/>
            </w:pPr>
            <w:r/>
            <w:r>
              <w:rPr>
                <w:rFonts w:ascii="Arial" w:hAnsi="Arial" w:eastAsia="Arial"/>
                <w:b/>
                <w:color w:val="FFFFFF"/>
                <w:sz w:val="13"/>
              </w:rPr>
              <w:t>When it applies / evidence</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Selectable, complete and usable text; correct OCR/text-extraction defects before release.</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Every public PDF. Josefa records final text check.</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Document title metadata and primary document-language metadata.</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Every public PDF. Josefa records metadata result.</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Tagged structure and appropriate heading hierarchy, plus a separate logical reading-order verification.</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Every public PDF. Josefa records structure and reading-order result.</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Meaningful alternatives for informative images/non-text. Decorative items are marked decorative or excluded from the alternative requirement.</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When such content is present. Josefa records applicability/result.</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Accessible explanation or equivalent for informative tables/charts when meaning is not otherwise available in text.</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When informative table/chart content is present.</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Meaningful link labels; keyboard traversal where links, navigation or interactive controls occur; assistive-technology screen-reader spot check.</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Where applicable. Record test and final-file version.</w:t>
            </w:r>
          </w:p>
        </w:tc>
      </w:tr>
      <w:tr>
        <w:trPr>
          <w:cantSplit/>
        </w:trPr>
        <w:tc>
          <w:tcPr>
            <w:tcW w:type="dxa" w:w="936"/>
            <w:vAlign w:val="top"/>
            <w:tcMar>
              <w:top w:w="55" w:type="dxa"/>
              <w:start w:w="70" w:type="dxa"/>
              <w:bottom w:w="55" w:type="dxa"/>
              <w:end w:w="70" w:type="dxa"/>
            </w:tcMar>
            <w:shd w:fill="E9F3EC"/>
          </w:tcPr>
          <w:p>
            <w:pPr>
              <w:spacing w:after="0" w:before="0" w:line="228" w:lineRule="auto"/>
              <w:jc w:val="center"/>
            </w:pPr>
            <w:r/>
            <w:r>
              <w:rPr>
                <w:rFonts w:ascii="Arial" w:hAnsi="Arial" w:eastAsia="Arial"/>
                <w:b/>
                <w:color w:val="172A33"/>
                <w:sz w:val="13"/>
              </w:rPr>
              <w:t>MUST</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Retain final accessible artifact and Josefa's completed test record/sign-off before public release.</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Every public PDF. Failed check blocks release.</w:t>
            </w:r>
          </w:p>
        </w:tc>
      </w:tr>
      <w:tr>
        <w:trPr>
          <w:cantSplit/>
        </w:trPr>
        <w:tc>
          <w:tcPr>
            <w:tcW w:type="dxa" w:w="936"/>
            <w:vAlign w:val="top"/>
            <w:tcMar>
              <w:top w:w="55" w:type="dxa"/>
              <w:start w:w="70" w:type="dxa"/>
              <w:bottom w:w="55" w:type="dxa"/>
              <w:end w:w="70" w:type="dxa"/>
            </w:tcMar>
            <w:shd w:fill="FFF4DB"/>
          </w:tcPr>
          <w:p>
            <w:pPr>
              <w:spacing w:after="0" w:before="0" w:line="228" w:lineRule="auto"/>
              <w:jc w:val="center"/>
            </w:pPr>
            <w:r/>
            <w:r>
              <w:rPr>
                <w:rFonts w:ascii="Arial" w:hAnsi="Arial" w:eastAsia="Arial"/>
                <w:b/>
                <w:color w:val="172A33"/>
                <w:sz w:val="13"/>
              </w:rPr>
              <w:t>SHOULD</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Plain-language improvement beyond approved copy; enhanced descriptions for complex charts.</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Advisory. Do not alter approved copy without separate content approval.</w:t>
            </w:r>
          </w:p>
        </w:tc>
      </w:tr>
      <w:tr>
        <w:trPr>
          <w:cantSplit/>
        </w:trPr>
        <w:tc>
          <w:tcPr>
            <w:tcW w:type="dxa" w:w="936"/>
            <w:vAlign w:val="top"/>
            <w:tcMar>
              <w:top w:w="55" w:type="dxa"/>
              <w:start w:w="70" w:type="dxa"/>
              <w:bottom w:w="55" w:type="dxa"/>
              <w:end w:w="70" w:type="dxa"/>
            </w:tcMar>
            <w:shd w:fill="FFF4DB"/>
          </w:tcPr>
          <w:p>
            <w:pPr>
              <w:spacing w:after="0" w:before="0" w:line="228" w:lineRule="auto"/>
              <w:jc w:val="center"/>
            </w:pPr>
            <w:r/>
            <w:r>
              <w:rPr>
                <w:rFonts w:ascii="Arial" w:hAnsi="Arial" w:eastAsia="Arial"/>
                <w:b/>
                <w:color w:val="172A33"/>
                <w:sz w:val="13"/>
              </w:rPr>
              <w:t>SHOULD</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Accessible HTML companion; enhanced visual contrast or brand treatment beyond applicable minimum.</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Advisory improvement; separately record, not a release substitute.</w:t>
            </w:r>
          </w:p>
        </w:tc>
      </w:tr>
      <w:tr>
        <w:trPr>
          <w:cantSplit/>
        </w:trPr>
        <w:tc>
          <w:tcPr>
            <w:tcW w:type="dxa" w:w="936"/>
            <w:vAlign w:val="top"/>
            <w:tcMar>
              <w:top w:w="55" w:type="dxa"/>
              <w:start w:w="70" w:type="dxa"/>
              <w:bottom w:w="55" w:type="dxa"/>
              <w:end w:w="70" w:type="dxa"/>
            </w:tcMar>
            <w:shd w:fill="FFF4DB"/>
          </w:tcPr>
          <w:p>
            <w:pPr>
              <w:spacing w:after="0" w:before="0" w:line="228" w:lineRule="auto"/>
              <w:jc w:val="center"/>
            </w:pPr>
            <w:r/>
            <w:r>
              <w:rPr>
                <w:rFonts w:ascii="Arial" w:hAnsi="Arial" w:eastAsia="Arial"/>
                <w:b/>
                <w:color w:val="172A33"/>
                <w:sz w:val="13"/>
              </w:rPr>
              <w:t>SHOULD</w:t>
            </w:r>
          </w:p>
        </w:tc>
        <w:tc>
          <w:tcPr>
            <w:tcW w:type="dxa" w:w="5976"/>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Additional large-print output beyond the named 40 packs per issue.</w:t>
            </w:r>
          </w:p>
        </w:tc>
        <w:tc>
          <w:tcPr>
            <w:tcW w:type="dxa" w:w="3629"/>
            <w:vAlign w:val="top"/>
            <w:tcMar>
              <w:top w:w="55" w:type="dxa"/>
              <w:start w:w="70" w:type="dxa"/>
              <w:bottom w:w="55" w:type="dxa"/>
              <w:end w:w="70" w:type="dxa"/>
            </w:tcMar>
            <w:shd w:fill="F8FAFB"/>
          </w:tcPr>
          <w:p>
            <w:pPr>
              <w:spacing w:after="0" w:before="0" w:line="228" w:lineRule="auto"/>
              <w:jc w:val="left"/>
            </w:pPr>
            <w:r/>
            <w:r>
              <w:rPr>
                <w:rFonts w:ascii="Arial" w:hAnsi="Arial" w:eastAsia="Arial"/>
                <w:b w:val="0"/>
                <w:color w:val="172A33"/>
                <w:sz w:val="13"/>
              </w:rPr>
              <w:t>Recommendation or separately approved scope; do not place in mandatory supplier budget.</w:t>
            </w:r>
          </w:p>
        </w:tc>
      </w:tr>
    </w:tbl>
    <w:p>
      <w:pPr>
        <w:pStyle w:val="Heading2"/>
      </w:pPr>
      <w:r>
        <w:t>Accessibility hold and exception</w:t>
      </w:r>
    </w:p>
    <w:p>
      <w:r>
        <w:t>Josefa records a failed MUST item against the final file and tells Bohdan to hold release. Bohdan does not publish or treat the related output as fully accepted. If correction cannot fit the production window, Josefa supplies defect evidence to Petra; Petra records schedule/budget impact and Saoirse must approve any documented accessibility exception before an alternate release decision. Otherwise the item remains blocked. This exception route does not reclassify the failed control as a SHOULD item.</w:t>
      </w:r>
    </w:p>
    <w:p>
      <w:pPr>
        <w:pStyle w:val="Heading2"/>
      </w:pPr>
      <w:r>
        <w:t>Closeout checklist</w:t>
      </w:r>
    </w:p>
    <w:p>
      <w:r>
        <w:t>On 30 September, Petra retains: the approval register; quotation/exception and conflict/price-reasonableness records; frozen copy and proof approvals; final accessible artifacts and Josefa's sign-offs; release records; supplier proof/delivery records; receipt and discrepancy outcome; monthly reviews; final editable workbook, contingency/headroom position and final cost information. Record unresolved items and their decision owner rather than closing them silently.</w:t>
      </w:r>
    </w:p>
    <w:sectPr w:rsidR="00FC693F" w:rsidRPr="0006063C" w:rsidSect="00034616">
      <w:headerReference w:type="default" r:id="rId9"/>
      <w:footerReference w:type="default" r:id="rId10"/>
      <w:pgSz w:w="11909" w:h="16834"/>
      <w:pgMar w:top="691" w:right="662" w:bottom="662" w:left="662"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16B"/>
        <w:sz w:val="14"/>
      </w:rPr>
      <w:t>Based on redcliffe_press_control_pack.pdf | as at 20 June 2026 | Internal operating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264653"/>
        <w:sz w:val="14"/>
      </w:rPr>
      <w:t>BRAMBLEWOOD COUNCIL | REDCLIFFE PRESS CALL-OFF OPERATING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Arial" w:hAnsi="Arial" w:eastAsia="Arial"/>
      <w:b/>
      <w:bCs/>
      <w:color w:val="173B4D"/>
      <w:sz w:val="22"/>
      <w:szCs w:val="28"/>
    </w:rPr>
  </w:style>
  <w:style w:type="paragraph" w:styleId="Heading2">
    <w:name w:val="heading 2"/>
    <w:basedOn w:val="Normal"/>
    <w:next w:val="Normal"/>
    <w:link w:val="Heading2Char"/>
    <w:uiPriority w:val="9"/>
    <w:unhideWhenUsed/>
    <w:qFormat/>
    <w:rsid w:val="00FC693F"/>
    <w:pPr>
      <w:keepNext/>
      <w:keepLines/>
      <w:spacing w:before="100" w:after="40" w:line="240" w:lineRule="auto"/>
      <w:outlineLvl w:val="1"/>
    </w:pPr>
    <w:rPr>
      <w:rFonts w:asciiTheme="majorHAnsi" w:eastAsiaTheme="majorEastAsia" w:hAnsiTheme="majorHAnsi" w:cstheme="majorBidi" w:ascii="Arial" w:hAnsi="Arial" w:eastAsia="Arial"/>
      <w:b/>
      <w:bCs/>
      <w:color w:val="26465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eastAsia="Arial"/>
      <w:b/>
      <w:color w:val="173B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Redcliffe Press operating plan</dc:title>
  <dc:subject>Three-month council-publication call-off</dc:subject>
  <dc:creator>Bramblewood Council Administrative Services</dc:creator>
  <cp:keywords>call-off, accessibility, procurement, publication services</cp:keywords>
  <dc:description>generated by python-docx</dc:description>
  <cp:lastModifiedBy/>
  <cp:revision>1</cp:revision>
  <dcterms:created xsi:type="dcterms:W3CDTF">2013-12-23T23:15:00Z</dcterms:created>
  <dcterms:modified xsi:type="dcterms:W3CDTF">2013-12-23T23:15:00Z</dcterms:modified>
  <cp:category/>
</cp:coreProperties>
</file>