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Test-data handling procedure</w:t>
      </w:r>
    </w:p>
    <w:p>
      <w:pPr>
        <w:spacing w:after="80"/>
      </w:pPr>
      <w:r>
        <w:rPr>
          <w:color w:val="505050"/>
          <w:sz w:val="16"/>
        </w:rPr>
        <w:t>Effective: 20 August 2026   |   Review: quarterly and after any material incident or contract change</w:t>
      </w:r>
    </w:p>
    <w:p>
      <w:pPr>
        <w:pStyle w:val="Heading1"/>
      </w:pPr>
      <w:r>
        <w:t>1. Purpose and scope</w:t>
      </w:r>
    </w:p>
    <w:p>
      <w:r>
        <w:t>This procedure controls client-derived data used for testing, development, troubleshooting, demonstrations, training, and other non-production work. It replaces individual judgement with a recorded, repeatable decision. “Test data” includes any production extract or copy, transformed or synthetic substitute linked to it, and data that appears in databases, files, messages, logs, exports, screenshots, support bundles, caches, backups, or tool-generated copies.</w:t>
      </w:r>
    </w:p>
    <w:p>
      <w:r>
        <w:t>It applies to every Corvidale employee, contractor, client, vendor, and service provider who requests, prepares, receives, accesses, transfers, stores, or disposes of such data, in development, QA, staging, demo, sandbox, analytics, local, or vendor environments. It covers work for Highmarsh Authority and Limeworth Media; their contractual and security instructions are checked separately for each dataset.</w:t>
      </w:r>
    </w:p>
    <w:p>
      <w:pPr>
        <w:pStyle w:val="Heading1"/>
      </w:pPr>
      <w:r>
        <w:t>2. Accountabilities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5F"/>
          </w:tcPr>
          <w:p>
            <w:pPr>
              <w:spacing w:after="0"/>
            </w:pPr>
            <w:r/>
            <w:r>
              <w:rPr>
                <w:b/>
                <w:color w:val="FFFFFF"/>
                <w:sz w:val="17"/>
              </w:rPr>
              <w:t>Role</w:t>
            </w:r>
          </w:p>
        </w:tc>
        <w:tc>
          <w:tcPr>
            <w:tcW w:type="dxa" w:w="5328"/>
            <w:vAlign w:val="center"/>
            <w:shd w:fill="1F4E5F"/>
          </w:tcPr>
          <w:p>
            <w:pPr>
              <w:spacing w:after="0"/>
            </w:pPr>
            <w:r/>
            <w:r>
              <w:rPr>
                <w:b/>
                <w:color w:val="FFFFFF"/>
                <w:sz w:val="17"/>
              </w:rPr>
              <w:t>Accountability</w:t>
            </w:r>
          </w:p>
        </w:tc>
      </w:tr>
      <w:tr>
        <w:tc>
          <w:tcPr>
            <w:tcW w:type="dxa" w:w="5328"/>
            <w:vAlign w:val="center"/>
          </w:tcPr>
          <w:p>
            <w:pPr>
              <w:spacing w:after="0"/>
            </w:pPr>
            <w:r/>
            <w:r>
              <w:rPr>
                <w:b w:val="0"/>
                <w:sz w:val="16"/>
              </w:rPr>
              <w:t>Requestor / delivery lead</w:t>
            </w:r>
          </w:p>
        </w:tc>
        <w:tc>
          <w:tcPr>
            <w:tcW w:type="dxa" w:w="5328"/>
            <w:vAlign w:val="center"/>
          </w:tcPr>
          <w:p>
            <w:pPr>
              <w:spacing w:after="0"/>
            </w:pPr>
            <w:r/>
            <w:r>
              <w:rPr>
                <w:b w:val="0"/>
                <w:sz w:val="16"/>
              </w:rPr>
              <w:t>States purpose, characteristics, environment, recipients and duration; confirms the test need.</w:t>
            </w:r>
          </w:p>
        </w:tc>
      </w:tr>
      <w:tr>
        <w:tc>
          <w:tcPr>
            <w:tcW w:type="dxa" w:w="5328"/>
            <w:vAlign w:val="center"/>
          </w:tcPr>
          <w:p>
            <w:pPr>
              <w:spacing w:after="0"/>
            </w:pPr>
            <w:r/>
            <w:r>
              <w:rPr>
                <w:b w:val="0"/>
                <w:sz w:val="16"/>
              </w:rPr>
              <w:t>Data owner / service owner</w:t>
            </w:r>
          </w:p>
        </w:tc>
        <w:tc>
          <w:tcPr>
            <w:tcW w:type="dxa" w:w="5328"/>
            <w:vAlign w:val="center"/>
          </w:tcPr>
          <w:p>
            <w:pPr>
              <w:spacing w:after="0"/>
            </w:pPr>
            <w:r/>
            <w:r>
              <w:rPr>
                <w:b w:val="0"/>
                <w:sz w:val="16"/>
              </w:rPr>
              <w:t>Confirms source, client authority, classification, minimum necessary scope and continued need.</w:t>
            </w:r>
          </w:p>
        </w:tc>
      </w:tr>
      <w:tr>
        <w:tc>
          <w:tcPr>
            <w:tcW w:type="dxa" w:w="5328"/>
            <w:vAlign w:val="center"/>
          </w:tcPr>
          <w:p>
            <w:pPr>
              <w:spacing w:after="0"/>
            </w:pPr>
            <w:r/>
            <w:r>
              <w:rPr>
                <w:b w:val="0"/>
                <w:sz w:val="16"/>
              </w:rPr>
              <w:t>Technical operator</w:t>
            </w:r>
          </w:p>
        </w:tc>
        <w:tc>
          <w:tcPr>
            <w:tcW w:type="dxa" w:w="5328"/>
            <w:vAlign w:val="center"/>
          </w:tcPr>
          <w:p>
            <w:pPr>
              <w:spacing w:after="0"/>
            </w:pPr>
            <w:r/>
            <w:r>
              <w:rPr>
                <w:b w:val="0"/>
                <w:sz w:val="16"/>
              </w:rPr>
              <w:t>Extracts, transforms, validates and releases only the approved dataset; keeps evidence.</w:t>
            </w:r>
          </w:p>
        </w:tc>
      </w:tr>
      <w:tr>
        <w:tc>
          <w:tcPr>
            <w:tcW w:type="dxa" w:w="5328"/>
            <w:vAlign w:val="center"/>
          </w:tcPr>
          <w:p>
            <w:pPr>
              <w:spacing w:after="0"/>
            </w:pPr>
            <w:r/>
            <w:r>
              <w:rPr>
                <w:b w:val="0"/>
                <w:sz w:val="16"/>
              </w:rPr>
              <w:t>Tester / recipient</w:t>
            </w:r>
          </w:p>
        </w:tc>
        <w:tc>
          <w:tcPr>
            <w:tcW w:type="dxa" w:w="5328"/>
            <w:vAlign w:val="center"/>
          </w:tcPr>
          <w:p>
            <w:pPr>
              <w:spacing w:after="0"/>
            </w:pPr>
            <w:r/>
            <w:r>
              <w:rPr>
                <w:b w:val="0"/>
                <w:sz w:val="16"/>
              </w:rPr>
              <w:t>Uses data only for the approved purpose; prevents onward sharing and reports issues.</w:t>
            </w:r>
          </w:p>
        </w:tc>
      </w:tr>
      <w:tr>
        <w:tc>
          <w:tcPr>
            <w:tcW w:type="dxa" w:w="5328"/>
            <w:vAlign w:val="center"/>
          </w:tcPr>
          <w:p>
            <w:pPr>
              <w:spacing w:after="0"/>
            </w:pPr>
            <w:r/>
            <w:r>
              <w:rPr>
                <w:b w:val="0"/>
                <w:sz w:val="16"/>
              </w:rPr>
              <w:t>Accountable approver</w:t>
            </w:r>
          </w:p>
        </w:tc>
        <w:tc>
          <w:tcPr>
            <w:tcW w:type="dxa" w:w="5328"/>
            <w:vAlign w:val="center"/>
          </w:tcPr>
          <w:p>
            <w:pPr>
              <w:spacing w:after="0"/>
            </w:pPr>
            <w:r/>
            <w:r>
              <w:rPr>
                <w:b w:val="0"/>
                <w:sz w:val="16"/>
              </w:rPr>
              <w:t>Named service owner or delegated Information Security Manager; approves release and exceptions. Never sole self-approval by the transformer.</w:t>
            </w:r>
          </w:p>
        </w:tc>
      </w:tr>
      <w:tr>
        <w:tc>
          <w:tcPr>
            <w:tcW w:type="dxa" w:w="5328"/>
            <w:vAlign w:val="center"/>
          </w:tcPr>
          <w:p>
            <w:pPr>
              <w:spacing w:after="0"/>
            </w:pPr>
            <w:r/>
            <w:r>
              <w:rPr>
                <w:b w:val="0"/>
                <w:sz w:val="16"/>
              </w:rPr>
              <w:t>Incident lead / out-of-hours duty manager</w:t>
            </w:r>
          </w:p>
        </w:tc>
        <w:tc>
          <w:tcPr>
            <w:tcW w:type="dxa" w:w="5328"/>
            <w:vAlign w:val="center"/>
          </w:tcPr>
          <w:p>
            <w:pPr>
              <w:spacing w:after="0"/>
            </w:pPr>
            <w:r/>
            <w:r>
              <w:rPr>
                <w:b w:val="0"/>
                <w:sz w:val="16"/>
              </w:rPr>
              <w:t>Contains events, coordinates notifications and records decisions; the duty rota, not personal memory, is the 24/7 route.</w:t>
            </w:r>
          </w:p>
        </w:tc>
      </w:tr>
    </w:tbl>
    <w:p>
      <w:pPr>
        <w:pStyle w:val="Heading1"/>
      </w:pPr>
      <w:r>
        <w:t>3. Lifecycle: request to disposal</w:t>
      </w:r>
    </w:p>
    <w:p>
      <w:r>
        <w:t>1  Request. Submit a record before copying anything. Include testing purpose and required behaviour; source and client; environment; fields/records or characteristics; named recipients and supplier; transfer route; start/end date (default maximum 30 days); and proposed treatment. If the source is already present, record where, why, who can access it and its expiry.</w:t>
      </w:r>
    </w:p>
    <w:p>
      <w:r>
        <w:t>2  Decide authority and necessity. The data owner checks the contract, statement of work, client instructions, privacy/security terms and any residency or onward-transfer limits. For work crossing England and Wales and Scotland, identify which client, people, services, locations and contractual clauses apply; consult the contract owner and Privacy/Legal adviser where unclear. No jurisdiction is presumed to override another. Reduce records, fields, history, audience and duration to the minimum necessary.</w:t>
      </w:r>
    </w:p>
    <w:p>
      <w:r>
        <w:t>3  Authorise. The accountable approver records dataset or query, purpose, environment, recipients, treatment, duration, risks, client/jurisdiction check and approval date. High-risk data, a new vendor, an exception, or unclear authority requires Information Security Manager plus contract owner approval. Refuse the copy when purpose, authority, minimum necessity, treatment, environment, ownership, or accountable approval cannot be established.</w:t>
      </w:r>
    </w:p>
    <w:p>
      <w:r>
        <w:t>4  Prepare and validate. The technical operator works in an approved restricted area, separates extraction from approval, and records tool/version, transformation summary, checks and reviewer. Before release, test both practical re-identification (including rare combinations and linkage back to source) and required functional behaviour (relationships, formats, edge cases). The data owner accepts the evidence; failed validation means no release.</w:t>
      </w:r>
    </w:p>
    <w:p>
      <w:r>
        <w:t>5  Release and use. Transfer only through an approved encrypted channel to approved storage. Grant named, least-privilege, time-limited access; segregate duties and environments; prohibit personal devices, removable media, local downloads, personal email, public repositories and unapproved collaboration locations. Monitor access and revoke promptly when the purpose, role or end date is reached.</w:t>
      </w:r>
    </w:p>
    <w:p>
      <w:r>
        <w:t>6  Review, expire and dispose. The service owner reviews weekly for active copies and at expiry. Renew only with a new necessity and approval. Delete the primary copy, exports, local working files, caches, screenshots, support bundles and tool copies; ask platform owners to remove logs where feasible. Backups or immutable stores may be retained only as a documented technical/legal exception, access-blocked and set to expire at the next supported purge; record what remains and the compensating control.</w:t>
      </w:r>
    </w:p>
    <w:p>
      <w:pPr>
        <w:pStyle w:val="Heading1"/>
      </w:pPr>
      <w:r>
        <w:t>4. Classification and treatment</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5F"/>
          </w:tcPr>
          <w:p>
            <w:pPr>
              <w:spacing w:after="0"/>
            </w:pPr>
            <w:r/>
            <w:r>
              <w:rPr>
                <w:b/>
                <w:color w:val="FFFFFF"/>
                <w:sz w:val="17"/>
              </w:rPr>
              <w:t>Risk / examples</w:t>
            </w:r>
          </w:p>
        </w:tc>
        <w:tc>
          <w:tcPr>
            <w:tcW w:type="dxa" w:w="5328"/>
            <w:vAlign w:val="center"/>
            <w:shd w:fill="1F4E5F"/>
          </w:tcPr>
          <w:p>
            <w:pPr>
              <w:spacing w:after="0"/>
            </w:pPr>
            <w:r/>
            <w:r>
              <w:rPr>
                <w:b/>
                <w:color w:val="FFFFFF"/>
                <w:sz w:val="17"/>
              </w:rPr>
              <w:t>Required treatment</w:t>
            </w:r>
          </w:p>
        </w:tc>
      </w:tr>
      <w:tr>
        <w:tc>
          <w:tcPr>
            <w:tcW w:type="dxa" w:w="5328"/>
            <w:vAlign w:val="center"/>
          </w:tcPr>
          <w:p>
            <w:pPr>
              <w:spacing w:after="0"/>
            </w:pPr>
            <w:r/>
            <w:r>
              <w:rPr>
                <w:b w:val="0"/>
                <w:sz w:val="16"/>
              </w:rPr>
              <w:t>Restricted: direct identifiers, contact details, case IDs, rare quasi-identifiers, sensitive free text, attachments or client-confidential content</w:t>
            </w:r>
          </w:p>
        </w:tc>
        <w:tc>
          <w:tcPr>
            <w:tcW w:type="dxa" w:w="5328"/>
            <w:vAlign w:val="center"/>
          </w:tcPr>
          <w:p>
            <w:pPr>
              <w:spacing w:after="0"/>
            </w:pPr>
            <w:r/>
            <w:r>
              <w:rPr>
                <w:b w:val="0"/>
                <w:sz w:val="16"/>
              </w:rPr>
              <w:t>Prefer synthetic replacement or strong anonymisation. Remove names, addresses, dates of birth, free text, images and attachments unless specifically needed. Tokenisation may preserve joins only when the mapping is separately protected and never enters test.</w:t>
            </w:r>
          </w:p>
        </w:tc>
      </w:tr>
      <w:tr>
        <w:tc>
          <w:tcPr>
            <w:tcW w:type="dxa" w:w="5328"/>
            <w:vAlign w:val="center"/>
          </w:tcPr>
          <w:p>
            <w:pPr>
              <w:spacing w:after="0"/>
            </w:pPr>
            <w:r/>
            <w:r>
              <w:rPr>
                <w:b w:val="0"/>
                <w:sz w:val="16"/>
              </w:rPr>
              <w:t>Confidential: operational records without direct identifiers but linkable or commercially sensitive</w:t>
            </w:r>
          </w:p>
        </w:tc>
        <w:tc>
          <w:tcPr>
            <w:tcW w:type="dxa" w:w="5328"/>
            <w:vAlign w:val="center"/>
          </w:tcPr>
          <w:p>
            <w:pPr>
              <w:spacing w:after="0"/>
            </w:pPr>
            <w:r/>
            <w:r>
              <w:rPr>
                <w:b w:val="0"/>
                <w:sz w:val="16"/>
              </w:rPr>
              <w:t>Mask or tokenise consistently; generalise dates/locations and minimise rows. Preserve referential integrity without preserving real-world identity.</w:t>
            </w:r>
          </w:p>
        </w:tc>
      </w:tr>
      <w:tr>
        <w:tc>
          <w:tcPr>
            <w:tcW w:type="dxa" w:w="5328"/>
            <w:vAlign w:val="center"/>
          </w:tcPr>
          <w:p>
            <w:pPr>
              <w:spacing w:after="0"/>
            </w:pPr>
            <w:r/>
            <w:r>
              <w:rPr>
                <w:b w:val="0"/>
                <w:sz w:val="16"/>
              </w:rPr>
              <w:t>Low risk: fabricated or irreversibly anonymised data with no practical linkage</w:t>
            </w:r>
          </w:p>
        </w:tc>
        <w:tc>
          <w:tcPr>
            <w:tcW w:type="dxa" w:w="5328"/>
            <w:vAlign w:val="center"/>
          </w:tcPr>
          <w:p>
            <w:pPr>
              <w:spacing w:after="0"/>
            </w:pPr>
            <w:r/>
            <w:r>
              <w:rPr>
                <w:b w:val="0"/>
                <w:sz w:val="16"/>
              </w:rPr>
              <w:t>Synthetic data is preferred; document its provenance and test coverage.</w:t>
            </w:r>
          </w:p>
        </w:tc>
      </w:tr>
    </w:tbl>
    <w:p>
      <w:r>
        <w:t>The rule of thumb “mask every field copied from production” is a starting check, not a release test. Masking alone can leave a person identifiable through combinations, free text, attachments, linked tables, timestamps or unique values, and it can still expose secrets. Where exact behaviour is needed, use controlled tokenisation or a narrowly retained restricted slice with stronger access and a short expiry; otherwise replace with synthetic data. Never copy usable production passwords, API keys, tokens, certificates or other secrets: remove and invalidate them and inject test-only substitutes.</w:t>
      </w:r>
    </w:p>
    <w:p>
      <w:pPr>
        <w:pStyle w:val="Heading1"/>
      </w:pPr>
      <w:r>
        <w:t>5. Exceptions, urgency and incidents</w:t>
      </w:r>
    </w:p>
    <w:p>
      <w:r>
        <w:t>If masking breaks a required behaviour, the requestor documents the behaviour, why synthetic data or a smaller slice fails, the residual risk and compensating controls. The approver may grant a time-boxed exception only with service owner and Information Security Manager sign-off; client/contract owner approval is added where required. Unclear ownership or permission is a stop condition, not an informal waiver.</w:t>
      </w:r>
    </w:p>
    <w:p>
      <w:r>
        <w:t>Urgent production defects use the same minimum fields and recorded approval. During business hours contact the service owner and Information Security Manager. Out of hours contact the duty manager via the published on-call rota; they may authorise a minimum, masked or synthetic slice for up to 24 hours, record the defect, dataset, recipients, treatment, expiry and decision, and obtain full retrospective approval by the next business day. If that route cannot be reached, refuse the copy.</w:t>
      </w:r>
    </w:p>
    <w:p>
      <w:r>
        <w:t>Suspected exposure, re-identification, failed transformation, or an unapproved copy: stop processing, isolate/revoke access, preserve relevant evidence and notify the incident lead immediately (out of hours, duty manager). The incident lead decides client, contract, privacy and regulator notifications with the contract owner/Privacy adviser; the technical operator investigates scope and residual copies; the service owner decides remediation and restart. Record timeline, data, people, containment, decisions, notifications, root cause and disposal.</w:t>
      </w:r>
    </w:p>
    <w:p>
      <w:pPr>
        <w:pStyle w:val="Heading1"/>
      </w:pPr>
      <w:r>
        <w:t>6. Evidence, transition and operating control</w:t>
      </w:r>
    </w:p>
    <w:p>
      <w:r>
        <w:t>The service owner maintains the register of requests, approvals, dataset and client/jurisdiction checks, classification and minimum-necessary rationale, transformation and validation evidence, access grants/revocations, exceptions, incidents, expiry and disposal confirmations. Information Security reviews monthly for outstanding approvals, access, expiries, residual copies and exceptions, and reports material gaps to the manager; this procedure is reviewed quarterly.</w:t>
      </w:r>
    </w:p>
    <w:p>
      <w:r>
        <w:t>Transition: within 10 business days, each service owner inventories existing non-production copies and work in flight, records source, location, recipients and purpose, then either obtains retrospective approval and remediation plan or isolates and retires the copy. No legacy copy may be refreshed or shared until reviewed. End state: every copy has a register entry, named owner, approved treatment, expiry and evidence; the requestor or transformer is never the sole approver.</w:t>
      </w:r>
    </w:p>
    <w:p>
      <w:r>
        <w:t>OPERATIVE CONTROL: No client-derived data may be copied, released, or retained in a non-production environment unless this procedure’s record, minimum-necessary decision, treatment validation, accountable approval, time-limited access, and disposal/exception plan are complete. When any required decision is unknown, the answer is “do not copy; escalate.”</w:t>
      </w:r>
    </w:p>
    <w:sectPr w:rsidR="00FC693F" w:rsidRPr="0006063C" w:rsidSect="00034616">
      <w:headerReference w:type="default" r:id="rId9"/>
      <w:footerReference w:type="default" r:id="rId10"/>
      <w:pgSz w:w="12240" w:h="15840"/>
      <w:pgMar w:top="691"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Test-data handling procedure  •  Owner: Computer and Information Systems Manager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A5A5A"/>
        <w:sz w:val="14"/>
      </w:rPr>
      <w:t>CORVIDALE CONSULTING  |  CONTROLLED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eastAsia="Arial"/>
      <w:b/>
      <w:bCs/>
      <w:color w:val="1F4E5F"/>
      <w:sz w:val="24"/>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eastAsia="Arial"/>
      <w:b/>
      <w:bCs/>
      <w:color w:val="2F6673"/>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100"/>
      <w:contextualSpacing/>
    </w:pPr>
    <w:rPr>
      <w:rFonts w:asciiTheme="majorHAnsi" w:eastAsiaTheme="majorEastAsia" w:hAnsiTheme="majorHAnsi" w:cstheme="majorBidi" w:ascii="Arial" w:hAnsi="Arial" w:eastAsia="Arial"/>
      <w:b/>
      <w:color w:val="1F4E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