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74669"/>
          <w:sz w:val="34"/>
        </w:rPr>
        <w:t>Medication-Management Design</w:t>
      </w:r>
    </w:p>
    <w:p>
      <w:pPr>
        <w:spacing w:after="100"/>
        <w:jc w:val="center"/>
      </w:pPr>
      <w:r>
        <w:rPr>
          <w:b/>
          <w:color w:val="465660"/>
          <w:sz w:val="19"/>
        </w:rPr>
        <w:t>Bellwether Ridge Behavioral Hospital | 24-bed adult inpatient unit</w:t>
      </w:r>
    </w:p>
    <w:p>
      <w:pPr>
        <w:spacing w:after="140"/>
        <w:jc w:val="center"/>
      </w:pPr>
      <w:r>
        <w:rPr>
          <w:b w:val="0"/>
          <w:color w:val="536672"/>
          <w:sz w:val="16"/>
        </w:rPr>
        <w:t>Prepared by Cordelia Nakamura, NP  •  For Ivo Trzaska and the delivery team  •  Opening implementation</w:t>
      </w:r>
    </w:p>
    <w:tbl>
      <w:tblPr>
        <w:tblW w:type="auto" w:w="0"/>
        <w:jc w:val="center"/>
        <w:tblLayout w:type="fixed"/>
        <w:tblLook w:firstColumn="1" w:firstRow="1" w:lastColumn="0" w:lastRow="0" w:noHBand="0" w:noVBand="1" w:val="04A0"/>
      </w:tblPr>
      <w:tblGrid>
        <w:gridCol w:w="10598"/>
      </w:tblGrid>
      <w:tr>
        <w:tc>
          <w:tcPr>
            <w:tcW w:type="dxa" w:w="10440"/>
            <w:shd w:fill="E7F1F6"/>
            <w:tcMar>
              <w:top w:w="85" w:type="dxa"/>
              <w:start w:w="115" w:type="dxa"/>
              <w:bottom w:w="85" w:type="dxa"/>
              <w:end w:w="115" w:type="dxa"/>
            </w:tcMar>
          </w:tcPr>
          <w:p>
            <w:pPr>
              <w:spacing w:after="20"/>
            </w:pPr>
            <w:r>
              <w:rPr>
                <w:b/>
                <w:color w:val="174669"/>
                <w:sz w:val="20"/>
              </w:rPr>
              <w:t>RECOMMENDATION — Centralized secure medication service point with a tightly bounded contingency supply.</w:t>
            </w:r>
          </w:p>
          <w:p>
            <w:pPr>
              <w:spacing w:after="0"/>
            </w:pPr>
            <w:r>
              <w:rPr>
                <w:b w:val="0"/>
                <w:sz w:val="17"/>
              </w:rPr>
              <w:t>Use a small staff-only, access-controlled medication alcove at the nursing core—not a large locked medication room—with tamper-resistant, non-wall-mounted storage, a restricted refrigerator, controlled-medication custody, and auditable access. Alderwick Solutions supplies patient-specific medicines twice daily; emergency/override access bridges only a defined urgent need.</w:t>
            </w:r>
          </w:p>
        </w:tc>
      </w:tr>
    </w:tbl>
    <w:p>
      <w:pPr>
        <w:spacing w:before="120" w:after="40"/>
      </w:pPr>
      <w:r>
        <w:rPr>
          <w:b/>
          <w:color w:val="174669"/>
          <w:sz w:val="22"/>
        </w:rPr>
        <w:t>1. Operating model and physical plant</w:t>
      </w:r>
    </w:p>
    <w:p>
      <w:pPr>
        <w:spacing w:before="0" w:after="40"/>
      </w:pPr>
      <w:r>
        <w:t>The medication alcove is behind the staff-only boundary and within normal staff observation, away from patient-accessible hardware. It contains a secured, free-standing/tamper-resistant medication unit with separate locked compartments for patient-specific supply, contingency supply, and controlled medication; a separately locked, temperature-monitored refrigerator; a receiving surface; and a confidential workstation. No wall-mounted medication cabinet is used. Patients do not enter the alcove; authorized nurses, authorized prescribers acting within service policy, and designated authorized pharmacy/receiving personnel have role-based access. Each entry or access is recorded, and unauthorized access is reported immediately to the charge nurse and service lead for safety action and investigation.</w:t>
      </w:r>
    </w:p>
    <w:p>
      <w:pPr>
        <w:spacing w:before="0" w:after="40"/>
      </w:pPr>
      <w:r>
        <w:t>This is deliberately small: routine medication is patient-specific and replenished through Alderwick’s twice-daily delivery, so the unit does not need a broad ward stock room. The contingency compartment is physically and administratively separate from patient-specific supply. The charge nurse owns access rosters, shift readiness, and escalation; the prescriber owns clinical authorization and urgency decisions; Alderwick pharmacist services own dispensing, labeling, clinical review within the applicable review window, and retrospective review when emergency access is used.</w:t>
      </w:r>
    </w:p>
    <w:p>
      <w:pPr>
        <w:spacing w:before="120" w:after="40"/>
      </w:pPr>
      <w:r>
        <w:rPr>
          <w:b/>
          <w:color w:val="174669"/>
          <w:sz w:val="22"/>
        </w:rPr>
        <w:t>2. From order to the intended patient</w:t>
      </w:r>
    </w:p>
    <w:tbl>
      <w:tblPr>
        <w:tblStyle w:val="TableGrid"/>
        <w:tblW w:type="auto" w:w="0"/>
        <w:jc w:val="center"/>
        <w:tblLayout w:type="fixed"/>
        <w:tblLook w:firstColumn="1" w:firstRow="1" w:lastColumn="0" w:lastRow="0" w:noHBand="0" w:noVBand="1" w:val="04A0"/>
      </w:tblPr>
      <w:tblGrid>
        <w:gridCol w:w="3533"/>
        <w:gridCol w:w="3533"/>
        <w:gridCol w:w="3533"/>
      </w:tblGrid>
      <w:tr>
        <w:trPr>
          <w:cantSplit/>
        </w:trPr>
        <w:tc>
          <w:tcPr>
            <w:tcW w:type="dxa" w:w="1584"/>
            <w:shd w:fill="173F5F"/>
            <w:tcMar>
              <w:top w:w="55" w:type="dxa"/>
              <w:start w:w="75" w:type="dxa"/>
              <w:bottom w:w="55" w:type="dxa"/>
              <w:end w:w="75" w:type="dxa"/>
            </w:tcMar>
          </w:tcPr>
          <w:p>
            <w:pPr>
              <w:spacing w:after="0"/>
            </w:pPr>
            <w:r>
              <w:rPr>
                <w:b/>
                <w:color w:val="FFFFFF"/>
                <w:sz w:val="16"/>
              </w:rPr>
              <w:t>Handoff</w:t>
            </w:r>
          </w:p>
        </w:tc>
        <w:tc>
          <w:tcPr>
            <w:tcW w:type="dxa" w:w="5976"/>
            <w:shd w:fill="173F5F"/>
            <w:tcMar>
              <w:top w:w="55" w:type="dxa"/>
              <w:start w:w="75" w:type="dxa"/>
              <w:bottom w:w="55" w:type="dxa"/>
              <w:end w:w="75" w:type="dxa"/>
            </w:tcMar>
          </w:tcPr>
          <w:p>
            <w:pPr>
              <w:spacing w:after="0"/>
            </w:pPr>
            <w:r>
              <w:rPr>
                <w:b/>
                <w:color w:val="FFFFFF"/>
                <w:sz w:val="16"/>
              </w:rPr>
              <w:t>Required action</w:t>
            </w:r>
          </w:p>
        </w:tc>
        <w:tc>
          <w:tcPr>
            <w:tcW w:type="dxa" w:w="2880"/>
            <w:shd w:fill="173F5F"/>
            <w:tcMar>
              <w:top w:w="55" w:type="dxa"/>
              <w:start w:w="75" w:type="dxa"/>
              <w:bottom w:w="55" w:type="dxa"/>
              <w:end w:w="75" w:type="dxa"/>
            </w:tcMar>
          </w:tcPr>
          <w:p>
            <w:pPr>
              <w:spacing w:after="0"/>
            </w:pPr>
            <w:r>
              <w:rPr>
                <w:b/>
                <w:color w:val="FFFFFF"/>
                <w:sz w:val="16"/>
              </w:rPr>
              <w:t>Owner / record</w:t>
            </w:r>
          </w:p>
        </w:tc>
      </w:tr>
      <w:tr>
        <w:trPr>
          <w:cantSplit/>
        </w:trPr>
        <w:tc>
          <w:tcPr>
            <w:tcW w:type="dxa" w:w="1584"/>
            <w:tcMar>
              <w:top w:w="55" w:type="dxa"/>
              <w:start w:w="75" w:type="dxa"/>
              <w:bottom w:w="55" w:type="dxa"/>
              <w:end w:w="75" w:type="dxa"/>
            </w:tcMar>
            <w:vAlign w:val="top"/>
          </w:tcPr>
          <w:p>
            <w:pPr>
              <w:spacing w:after="0" w:line="240" w:lineRule="auto"/>
            </w:pPr>
            <w:r>
              <w:rPr>
                <w:b w:val="0"/>
                <w:sz w:val="15"/>
              </w:rPr>
              <w:t>1. Order and screen</w:t>
            </w:r>
          </w:p>
        </w:tc>
        <w:tc>
          <w:tcPr>
            <w:tcW w:type="dxa" w:w="5976"/>
            <w:tcMar>
              <w:top w:w="55" w:type="dxa"/>
              <w:start w:w="75" w:type="dxa"/>
              <w:bottom w:w="55" w:type="dxa"/>
              <w:end w:w="75" w:type="dxa"/>
            </w:tcMar>
            <w:vAlign w:val="top"/>
          </w:tcPr>
          <w:p>
            <w:pPr>
              <w:spacing w:after="0" w:line="240" w:lineRule="auto"/>
            </w:pPr>
            <w:r>
              <w:rPr>
                <w:b w:val="0"/>
                <w:sz w:val="15"/>
              </w:rPr>
              <w:t>Prescriber enters or communicates a valid order through the approved record. Nurse confirms the intended patient, current order, allergies and relevant clinical checks; resolves uncertainty with the prescriber before proceeding.</w:t>
            </w:r>
          </w:p>
        </w:tc>
        <w:tc>
          <w:tcPr>
            <w:tcW w:type="dxa" w:w="2880"/>
            <w:tcMar>
              <w:top w:w="55" w:type="dxa"/>
              <w:start w:w="75" w:type="dxa"/>
              <w:bottom w:w="55" w:type="dxa"/>
              <w:end w:w="75" w:type="dxa"/>
            </w:tcMar>
            <w:vAlign w:val="top"/>
          </w:tcPr>
          <w:p>
            <w:pPr>
              <w:spacing w:after="0" w:line="240" w:lineRule="auto"/>
            </w:pPr>
            <w:r>
              <w:rPr>
                <w:b w:val="0"/>
                <w:sz w:val="15"/>
              </w:rPr>
              <w:t>Prescriber; administering nurse. Order and clinical record.</w:t>
            </w:r>
          </w:p>
        </w:tc>
      </w:tr>
      <w:tr>
        <w:trPr>
          <w:cantSplit/>
        </w:trPr>
        <w:tc>
          <w:tcPr>
            <w:tcW w:type="dxa" w:w="1584"/>
            <w:tcMar>
              <w:top w:w="55" w:type="dxa"/>
              <w:start w:w="75" w:type="dxa"/>
              <w:bottom w:w="55" w:type="dxa"/>
              <w:end w:w="75" w:type="dxa"/>
            </w:tcMar>
            <w:vAlign w:val="top"/>
            <w:shd w:fill="EEF3F6"/>
          </w:tcPr>
          <w:p>
            <w:pPr>
              <w:spacing w:after="0" w:line="240" w:lineRule="auto"/>
            </w:pPr>
            <w:r>
              <w:rPr>
                <w:b w:val="0"/>
                <w:sz w:val="15"/>
              </w:rPr>
              <w:t>2. Pharmacy process</w:t>
            </w:r>
          </w:p>
        </w:tc>
        <w:tc>
          <w:tcPr>
            <w:tcW w:type="dxa" w:w="5976"/>
            <w:tcMar>
              <w:top w:w="55" w:type="dxa"/>
              <w:start w:w="75" w:type="dxa"/>
              <w:bottom w:w="55" w:type="dxa"/>
              <w:end w:w="75" w:type="dxa"/>
            </w:tcMar>
            <w:vAlign w:val="top"/>
            <w:shd w:fill="EEF3F6"/>
          </w:tcPr>
          <w:p>
            <w:pPr>
              <w:spacing w:after="0" w:line="240" w:lineRule="auto"/>
            </w:pPr>
            <w:r>
              <w:rPr>
                <w:b w:val="0"/>
                <w:sz w:val="15"/>
              </w:rPr>
              <w:t>Order is sent to Alderwick for pharmacist review and patient-specific dispensing/labeling. The label and supplied item remain linked to that patient; no relabeling or substitution from another patient.</w:t>
            </w:r>
          </w:p>
        </w:tc>
        <w:tc>
          <w:tcPr>
            <w:tcW w:type="dxa" w:w="2880"/>
            <w:tcMar>
              <w:top w:w="55" w:type="dxa"/>
              <w:start w:w="75" w:type="dxa"/>
              <w:bottom w:w="55" w:type="dxa"/>
              <w:end w:w="75" w:type="dxa"/>
            </w:tcMar>
            <w:vAlign w:val="top"/>
            <w:shd w:fill="EEF3F6"/>
          </w:tcPr>
          <w:p>
            <w:pPr>
              <w:spacing w:after="0" w:line="240" w:lineRule="auto"/>
            </w:pPr>
            <w:r>
              <w:rPr>
                <w:b w:val="0"/>
                <w:sz w:val="15"/>
              </w:rPr>
              <w:t>Alderwick pharmacist/service. Pharmacy and order records.</w:t>
            </w:r>
          </w:p>
        </w:tc>
      </w:tr>
      <w:tr>
        <w:trPr>
          <w:cantSplit/>
        </w:trPr>
        <w:tc>
          <w:tcPr>
            <w:tcW w:type="dxa" w:w="1584"/>
            <w:tcMar>
              <w:top w:w="55" w:type="dxa"/>
              <w:start w:w="75" w:type="dxa"/>
              <w:bottom w:w="55" w:type="dxa"/>
              <w:end w:w="75" w:type="dxa"/>
            </w:tcMar>
            <w:vAlign w:val="top"/>
          </w:tcPr>
          <w:p>
            <w:pPr>
              <w:spacing w:after="0" w:line="240" w:lineRule="auto"/>
            </w:pPr>
            <w:r>
              <w:rPr>
                <w:b w:val="0"/>
                <w:sz w:val="15"/>
              </w:rPr>
              <w:t>3. Twice-daily receipt</w:t>
            </w:r>
          </w:p>
        </w:tc>
        <w:tc>
          <w:tcPr>
            <w:tcW w:type="dxa" w:w="5976"/>
            <w:tcMar>
              <w:top w:w="55" w:type="dxa"/>
              <w:start w:w="75" w:type="dxa"/>
              <w:bottom w:w="55" w:type="dxa"/>
              <w:end w:w="75" w:type="dxa"/>
            </w:tcMar>
            <w:vAlign w:val="top"/>
          </w:tcPr>
          <w:p>
            <w:pPr>
              <w:spacing w:after="0" w:line="240" w:lineRule="auto"/>
            </w:pPr>
            <w:r>
              <w:rPr>
                <w:b w:val="0"/>
                <w:sz w:val="15"/>
              </w:rPr>
              <w:t>At each scheduled delivery, authorized receiver checks the sealed handoff and expected patient-specific and contingency items, records receipt, places items in the correct secure compartment, and immediately logs/escalates missing, unexpected, damaged, or mismatched items.</w:t>
            </w:r>
          </w:p>
        </w:tc>
        <w:tc>
          <w:tcPr>
            <w:tcW w:type="dxa" w:w="2880"/>
            <w:tcMar>
              <w:top w:w="55" w:type="dxa"/>
              <w:start w:w="75" w:type="dxa"/>
              <w:bottom w:w="55" w:type="dxa"/>
              <w:end w:w="75" w:type="dxa"/>
            </w:tcMar>
            <w:vAlign w:val="top"/>
          </w:tcPr>
          <w:p>
            <w:pPr>
              <w:spacing w:after="0" w:line="240" w:lineRule="auto"/>
            </w:pPr>
            <w:r>
              <w:rPr>
                <w:b w:val="0"/>
                <w:sz w:val="15"/>
              </w:rPr>
              <w:t>Designated receiving nurse; charge nurse. Delivery handoff and discrepancy record.</w:t>
            </w:r>
          </w:p>
        </w:tc>
      </w:tr>
      <w:tr>
        <w:trPr>
          <w:cantSplit/>
        </w:trPr>
        <w:tc>
          <w:tcPr>
            <w:tcW w:type="dxa" w:w="1584"/>
            <w:tcMar>
              <w:top w:w="55" w:type="dxa"/>
              <w:start w:w="75" w:type="dxa"/>
              <w:bottom w:w="55" w:type="dxa"/>
              <w:end w:w="75" w:type="dxa"/>
            </w:tcMar>
            <w:vAlign w:val="top"/>
            <w:shd w:fill="EEF3F6"/>
          </w:tcPr>
          <w:p>
            <w:pPr>
              <w:spacing w:after="0" w:line="240" w:lineRule="auto"/>
            </w:pPr>
            <w:r>
              <w:rPr>
                <w:b w:val="0"/>
                <w:sz w:val="15"/>
              </w:rPr>
              <w:t>4. Administration</w:t>
            </w:r>
          </w:p>
        </w:tc>
        <w:tc>
          <w:tcPr>
            <w:tcW w:type="dxa" w:w="5976"/>
            <w:tcMar>
              <w:top w:w="55" w:type="dxa"/>
              <w:start w:w="75" w:type="dxa"/>
              <w:bottom w:w="55" w:type="dxa"/>
              <w:end w:w="75" w:type="dxa"/>
            </w:tcMar>
            <w:vAlign w:val="top"/>
            <w:shd w:fill="EEF3F6"/>
          </w:tcPr>
          <w:p>
            <w:pPr>
              <w:spacing w:after="0" w:line="240" w:lineRule="auto"/>
            </w:pPr>
            <w:r>
              <w:rPr>
                <w:b w:val="0"/>
                <w:sz w:val="15"/>
              </w:rPr>
              <w:t>Authorized nurse removes only the intended patient’s item, matches patient identity, medication and label to the current order, route and timing, completes relevant safety checks, administers, and records it at once. PRNs also record indication and response.</w:t>
            </w:r>
          </w:p>
        </w:tc>
        <w:tc>
          <w:tcPr>
            <w:tcW w:type="dxa" w:w="2880"/>
            <w:tcMar>
              <w:top w:w="55" w:type="dxa"/>
              <w:start w:w="75" w:type="dxa"/>
              <w:bottom w:w="55" w:type="dxa"/>
              <w:end w:w="75" w:type="dxa"/>
            </w:tcMar>
            <w:vAlign w:val="top"/>
            <w:shd w:fill="EEF3F6"/>
          </w:tcPr>
          <w:p>
            <w:pPr>
              <w:spacing w:after="0" w:line="240" w:lineRule="auto"/>
            </w:pPr>
            <w:r>
              <w:rPr>
                <w:b w:val="0"/>
                <w:sz w:val="15"/>
              </w:rPr>
              <w:t>Administering nurse. Administration record.</w:t>
            </w:r>
          </w:p>
        </w:tc>
      </w:tr>
    </w:tbl>
    <w:p>
      <w:pPr>
        <w:spacing w:after="0"/>
      </w:pPr>
    </w:p>
    <w:p>
      <w:pPr>
        <w:spacing w:before="120" w:after="40"/>
      </w:pPr>
      <w:r>
        <w:rPr>
          <w:b/>
          <w:color w:val="174669"/>
          <w:sz w:val="22"/>
        </w:rPr>
        <w:t>3. Do not delay a necessary first dose or PRN</w:t>
      </w:r>
    </w:p>
    <w:p>
      <w:pPr>
        <w:spacing w:before="0" w:after="40"/>
      </w:pPr>
      <w:r>
        <w:t>The promise of timely treatment is met through a controlled exception, not through unsecured stock. When the next Alderwick delivery or pharmacist review is not yet available and waiting would create an unsafe clinical delay, the prescriber gives clinical authorization and the nurse verifies patient identity, the valid order, allergies and relevant safety information. The charge nurse or delegated authorized nurse opens the contingency/override compartment only for that defined urgent clinical need, removes the authorized item for the intended patient, and records the reason, authorization, patient match, item, time, administrator, and any required response in the approved records. The nurse then administers and records the dose; the order and exception are sent for retrospective pharmacist review. A later review is required—it does not replace clinical authorization or permit bypassing verification.</w:t>
      </w:r>
    </w:p>
    <w:p>
      <w:pPr>
        <w:spacing w:before="0" w:after="40"/>
      </w:pPr>
      <w:r>
        <w:t>For an urgent PRN, the same pathway additionally confirms that the PRN order is current and its indication applies now; the nurse records the indication and clinical response. If an order is absent, unclear, or does not authorize the proposed use, the nurse does not use contingency supply and contacts the prescriber. After every override access, the charge nurse reconciles the compartment and initiates replenishment through Alderwick. Contingency supply is not a standing convenience substitute for the twice-daily process.</w:t>
      </w:r>
    </w:p>
    <w:p>
      <w:pPr>
        <w:spacing w:before="120" w:after="40"/>
      </w:pPr>
      <w:r>
        <w:rPr>
          <w:b/>
          <w:color w:val="174669"/>
          <w:sz w:val="22"/>
        </w:rPr>
        <w:t>4. Custody, cold chain, changes, and delivery exceptions</w:t>
      </w:r>
    </w:p>
    <w:tbl>
      <w:tblPr>
        <w:tblStyle w:val="TableGrid"/>
        <w:tblW w:type="auto" w:w="0"/>
        <w:jc w:val="center"/>
        <w:tblLayout w:type="fixed"/>
        <w:tblLook w:firstColumn="1" w:firstRow="1" w:lastColumn="0" w:lastRow="0" w:noHBand="0" w:noVBand="1" w:val="04A0"/>
      </w:tblPr>
      <w:tblGrid>
        <w:gridCol w:w="5299"/>
        <w:gridCol w:w="5299"/>
      </w:tblGrid>
      <w:tr>
        <w:trPr>
          <w:cantSplit/>
        </w:trPr>
        <w:tc>
          <w:tcPr>
            <w:tcW w:type="dxa" w:w="1944"/>
            <w:shd w:fill="173F5F"/>
            <w:tcMar>
              <w:top w:w="55" w:type="dxa"/>
              <w:start w:w="75" w:type="dxa"/>
              <w:bottom w:w="55" w:type="dxa"/>
              <w:end w:w="75" w:type="dxa"/>
            </w:tcMar>
          </w:tcPr>
          <w:p>
            <w:pPr>
              <w:spacing w:after="0"/>
            </w:pPr>
            <w:r>
              <w:rPr>
                <w:b/>
                <w:color w:val="FFFFFF"/>
                <w:sz w:val="16"/>
              </w:rPr>
              <w:t>Area</w:t>
            </w:r>
          </w:p>
        </w:tc>
        <w:tc>
          <w:tcPr>
            <w:tcW w:type="dxa" w:w="8496"/>
            <w:shd w:fill="173F5F"/>
            <w:tcMar>
              <w:top w:w="55" w:type="dxa"/>
              <w:start w:w="75" w:type="dxa"/>
              <w:bottom w:w="55" w:type="dxa"/>
              <w:end w:w="75" w:type="dxa"/>
            </w:tcMar>
          </w:tcPr>
          <w:p>
            <w:pPr>
              <w:spacing w:after="0"/>
            </w:pPr>
            <w:r>
              <w:rPr>
                <w:b/>
                <w:color w:val="FFFFFF"/>
                <w:sz w:val="16"/>
              </w:rPr>
              <w:t>Control that the oncoming nurse can use</w:t>
            </w:r>
          </w:p>
        </w:tc>
      </w:tr>
      <w:tr>
        <w:trPr>
          <w:cantSplit/>
        </w:trPr>
        <w:tc>
          <w:tcPr>
            <w:tcW w:type="dxa" w:w="1944"/>
            <w:tcMar>
              <w:top w:w="55" w:type="dxa"/>
              <w:start w:w="75" w:type="dxa"/>
              <w:bottom w:w="55" w:type="dxa"/>
              <w:end w:w="75" w:type="dxa"/>
            </w:tcMar>
            <w:vAlign w:val="top"/>
          </w:tcPr>
          <w:p>
            <w:pPr>
              <w:spacing w:after="0" w:line="240" w:lineRule="auto"/>
            </w:pPr>
            <w:r>
              <w:rPr>
                <w:b w:val="0"/>
                <w:sz w:val="15"/>
              </w:rPr>
              <w:t>Controlled medication</w:t>
            </w:r>
          </w:p>
        </w:tc>
        <w:tc>
          <w:tcPr>
            <w:tcW w:type="dxa" w:w="8496"/>
            <w:tcMar>
              <w:top w:w="55" w:type="dxa"/>
              <w:start w:w="75" w:type="dxa"/>
              <w:bottom w:w="55" w:type="dxa"/>
              <w:end w:w="75" w:type="dxa"/>
            </w:tcMar>
            <w:vAlign w:val="top"/>
          </w:tcPr>
          <w:p>
            <w:pPr>
              <w:spacing w:after="0" w:line="240" w:lineRule="auto"/>
            </w:pPr>
            <w:r>
              <w:rPr>
                <w:b w:val="0"/>
                <w:sz w:val="15"/>
              </w:rPr>
              <w:t>Keep in the dedicated restricted compartment with a custody record. Reconcile at each shift and after access; use authorized witnessing where applicable. Any count/custody discrepancy: secure the area and affected supply, protect patient care, notify the charge nurse and service lead promptly, obtain witnessed handling as applicable, document facts, and support investigation and resolution.</w:t>
            </w:r>
          </w:p>
        </w:tc>
      </w:tr>
      <w:tr>
        <w:trPr>
          <w:cantSplit/>
        </w:trPr>
        <w:tc>
          <w:tcPr>
            <w:tcW w:type="dxa" w:w="1944"/>
            <w:tcMar>
              <w:top w:w="55" w:type="dxa"/>
              <w:start w:w="75" w:type="dxa"/>
              <w:bottom w:w="55" w:type="dxa"/>
              <w:end w:w="75" w:type="dxa"/>
            </w:tcMar>
            <w:vAlign w:val="top"/>
            <w:shd w:fill="EEF3F6"/>
          </w:tcPr>
          <w:p>
            <w:pPr>
              <w:spacing w:after="0" w:line="240" w:lineRule="auto"/>
            </w:pPr>
            <w:r>
              <w:rPr>
                <w:b w:val="0"/>
                <w:sz w:val="15"/>
              </w:rPr>
              <w:t>Refrigerated medication</w:t>
            </w:r>
          </w:p>
        </w:tc>
        <w:tc>
          <w:tcPr>
            <w:tcW w:type="dxa" w:w="8496"/>
            <w:tcMar>
              <w:top w:w="55" w:type="dxa"/>
              <w:start w:w="75" w:type="dxa"/>
              <w:bottom w:w="55" w:type="dxa"/>
              <w:end w:w="75" w:type="dxa"/>
            </w:tcMar>
            <w:vAlign w:val="top"/>
            <w:shd w:fill="EEF3F6"/>
          </w:tcPr>
          <w:p>
            <w:pPr>
              <w:spacing w:after="0" w:line="240" w:lineRule="auto"/>
            </w:pPr>
            <w:r>
              <w:rPr>
                <w:b w:val="0"/>
                <w:sz w:val="15"/>
              </w:rPr>
              <w:t>Keep only in the access-restricted medication refrigerator. Review and record temperature monitoring. On an excursion, restrict use of affected supply, notify the charge nurse and Alderwick for product-integrity direction, take corrective action, and record the event and disposition.</w:t>
            </w:r>
          </w:p>
        </w:tc>
      </w:tr>
      <w:tr>
        <w:trPr>
          <w:cantSplit/>
        </w:trPr>
        <w:tc>
          <w:tcPr>
            <w:tcW w:type="dxa" w:w="1944"/>
            <w:tcMar>
              <w:top w:w="55" w:type="dxa"/>
              <w:start w:w="75" w:type="dxa"/>
              <w:bottom w:w="55" w:type="dxa"/>
              <w:end w:w="75" w:type="dxa"/>
            </w:tcMar>
            <w:vAlign w:val="top"/>
          </w:tcPr>
          <w:p>
            <w:pPr>
              <w:spacing w:after="0" w:line="240" w:lineRule="auto"/>
            </w:pPr>
            <w:r>
              <w:rPr>
                <w:b w:val="0"/>
                <w:sz w:val="15"/>
              </w:rPr>
              <w:t>Changed, stopped, transferred</w:t>
            </w:r>
          </w:p>
        </w:tc>
        <w:tc>
          <w:tcPr>
            <w:tcW w:type="dxa" w:w="8496"/>
            <w:tcMar>
              <w:top w:w="55" w:type="dxa"/>
              <w:start w:w="75" w:type="dxa"/>
              <w:bottom w:w="55" w:type="dxa"/>
              <w:end w:w="75" w:type="dxa"/>
            </w:tcMar>
            <w:vAlign w:val="top"/>
          </w:tcPr>
          <w:p>
            <w:pPr>
              <w:spacing w:after="0" w:line="240" w:lineRule="auto"/>
            </w:pPr>
            <w:r>
              <w:rPr>
                <w:b w:val="0"/>
                <w:sz w:val="15"/>
              </w:rPr>
              <w:t>Prescriber change is documented in the current order record and communicated promptly to nursing and Alderwick. Nurse removes obsolete patient-specific supply from active use, reconciles it against the record, and uses the authorized return/wastage route; receiving/covering nurse sees the status at handoff.</w:t>
            </w:r>
          </w:p>
        </w:tc>
      </w:tr>
      <w:tr>
        <w:trPr>
          <w:cantSplit/>
        </w:trPr>
        <w:tc>
          <w:tcPr>
            <w:tcW w:type="dxa" w:w="1944"/>
            <w:tcMar>
              <w:top w:w="55" w:type="dxa"/>
              <w:start w:w="75" w:type="dxa"/>
              <w:bottom w:w="55" w:type="dxa"/>
              <w:end w:w="75" w:type="dxa"/>
            </w:tcMar>
            <w:vAlign w:val="top"/>
            <w:shd w:fill="EEF3F6"/>
          </w:tcPr>
          <w:p>
            <w:pPr>
              <w:spacing w:after="0" w:line="240" w:lineRule="auto"/>
            </w:pPr>
            <w:r>
              <w:rPr>
                <w:b w:val="0"/>
                <w:sz w:val="15"/>
              </w:rPr>
              <w:t>Recall, damage, expiry, or delivery mismatch</w:t>
            </w:r>
          </w:p>
        </w:tc>
        <w:tc>
          <w:tcPr>
            <w:tcW w:type="dxa" w:w="8496"/>
            <w:tcMar>
              <w:top w:w="55" w:type="dxa"/>
              <w:start w:w="75" w:type="dxa"/>
              <w:bottom w:w="55" w:type="dxa"/>
              <w:end w:w="75" w:type="dxa"/>
            </w:tcMar>
            <w:vAlign w:val="top"/>
            <w:shd w:fill="EEF3F6"/>
          </w:tcPr>
          <w:p>
            <w:pPr>
              <w:spacing w:after="0" w:line="240" w:lineRule="auto"/>
            </w:pPr>
            <w:r>
              <w:rPr>
                <w:b w:val="0"/>
                <w:sz w:val="15"/>
              </w:rPr>
              <w:t>Quarantine the item from administration, preserve its identity/custody, notify charge nurse and Alderwick, document the issue, determine affected patients through the record, and complete authorized return or replacement. Do not silently replace it from another patient’s supply.</w:t>
            </w:r>
          </w:p>
        </w:tc>
      </w:tr>
    </w:tbl>
    <w:p>
      <w:pPr>
        <w:spacing w:after="0"/>
      </w:pPr>
    </w:p>
    <w:p>
      <w:pPr>
        <w:spacing w:before="120" w:after="40"/>
      </w:pPr>
      <w:r>
        <w:rPr>
          <w:b/>
          <w:color w:val="174669"/>
          <w:sz w:val="22"/>
        </w:rPr>
        <w:t>5. Exceptions and escalation</w:t>
      </w:r>
    </w:p>
    <w:tbl>
      <w:tblPr>
        <w:tblStyle w:val="TableGrid"/>
        <w:tblW w:type="auto" w:w="0"/>
        <w:jc w:val="center"/>
        <w:tblLayout w:type="fixed"/>
        <w:tblLook w:firstColumn="1" w:firstRow="1" w:lastColumn="0" w:lastRow="0" w:noHBand="0" w:noVBand="1" w:val="04A0"/>
      </w:tblPr>
      <w:tblGrid>
        <w:gridCol w:w="5299"/>
        <w:gridCol w:w="5299"/>
      </w:tblGrid>
      <w:tr>
        <w:trPr>
          <w:cantSplit/>
        </w:trPr>
        <w:tc>
          <w:tcPr>
            <w:tcW w:type="dxa" w:w="2376"/>
            <w:shd w:fill="173F5F"/>
            <w:tcMar>
              <w:top w:w="55" w:type="dxa"/>
              <w:start w:w="75" w:type="dxa"/>
              <w:bottom w:w="55" w:type="dxa"/>
              <w:end w:w="75" w:type="dxa"/>
            </w:tcMar>
          </w:tcPr>
          <w:p>
            <w:pPr>
              <w:spacing w:after="0"/>
            </w:pPr>
            <w:r>
              <w:rPr>
                <w:b/>
                <w:color w:val="FFFFFF"/>
                <w:sz w:val="16"/>
              </w:rPr>
              <w:t>Event</w:t>
            </w:r>
          </w:p>
        </w:tc>
        <w:tc>
          <w:tcPr>
            <w:tcW w:type="dxa" w:w="8064"/>
            <w:shd w:fill="173F5F"/>
            <w:tcMar>
              <w:top w:w="55" w:type="dxa"/>
              <w:start w:w="75" w:type="dxa"/>
              <w:bottom w:w="55" w:type="dxa"/>
              <w:end w:w="75" w:type="dxa"/>
            </w:tcMar>
          </w:tcPr>
          <w:p>
            <w:pPr>
              <w:spacing w:after="0"/>
            </w:pPr>
            <w:r>
              <w:rPr>
                <w:b/>
                <w:color w:val="FFFFFF"/>
                <w:sz w:val="16"/>
              </w:rPr>
              <w:t>Immediate response and closure</w:t>
            </w:r>
          </w:p>
        </w:tc>
      </w:tr>
      <w:tr>
        <w:trPr>
          <w:cantSplit/>
        </w:trPr>
        <w:tc>
          <w:tcPr>
            <w:tcW w:type="dxa" w:w="2376"/>
            <w:tcMar>
              <w:top w:w="55" w:type="dxa"/>
              <w:start w:w="75" w:type="dxa"/>
              <w:bottom w:w="55" w:type="dxa"/>
              <w:end w:w="75" w:type="dxa"/>
            </w:tcMar>
            <w:vAlign w:val="top"/>
          </w:tcPr>
          <w:p>
            <w:pPr>
              <w:spacing w:after="0" w:line="240" w:lineRule="auto"/>
            </w:pPr>
            <w:r>
              <w:rPr>
                <w:b w:val="0"/>
                <w:sz w:val="15"/>
              </w:rPr>
              <w:t>Refusal, omission, delay, or unavailable dose</w:t>
            </w:r>
          </w:p>
        </w:tc>
        <w:tc>
          <w:tcPr>
            <w:tcW w:type="dxa" w:w="8064"/>
            <w:tcMar>
              <w:top w:w="55" w:type="dxa"/>
              <w:start w:w="75" w:type="dxa"/>
              <w:bottom w:w="55" w:type="dxa"/>
              <w:end w:w="75" w:type="dxa"/>
            </w:tcMar>
            <w:vAlign w:val="top"/>
          </w:tcPr>
          <w:p>
            <w:pPr>
              <w:spacing w:after="0" w:line="240" w:lineRule="auto"/>
            </w:pPr>
            <w:r>
              <w:rPr>
                <w:b w:val="0"/>
                <w:sz w:val="15"/>
              </w:rPr>
              <w:t>Assess the patient and clinical significance; do not automatically reissue or mark the dose complete. Record what occurred and why, notify the prescriber when clinical assessment or a replacement plan is needed, notify Alderwick for supply issues, and carry the item at handoff until resolved.</w:t>
            </w:r>
          </w:p>
        </w:tc>
      </w:tr>
      <w:tr>
        <w:trPr>
          <w:cantSplit/>
        </w:trPr>
        <w:tc>
          <w:tcPr>
            <w:tcW w:type="dxa" w:w="2376"/>
            <w:tcMar>
              <w:top w:w="55" w:type="dxa"/>
              <w:start w:w="75" w:type="dxa"/>
              <w:bottom w:w="55" w:type="dxa"/>
              <w:end w:w="75" w:type="dxa"/>
            </w:tcMar>
            <w:vAlign w:val="top"/>
            <w:shd w:fill="EEF3F6"/>
          </w:tcPr>
          <w:p>
            <w:pPr>
              <w:spacing w:after="0" w:line="240" w:lineRule="auto"/>
            </w:pPr>
            <w:r>
              <w:rPr>
                <w:b w:val="0"/>
                <w:sz w:val="15"/>
              </w:rPr>
              <w:t>Urgent regimen change</w:t>
            </w:r>
          </w:p>
        </w:tc>
        <w:tc>
          <w:tcPr>
            <w:tcW w:type="dxa" w:w="8064"/>
            <w:tcMar>
              <w:top w:w="55" w:type="dxa"/>
              <w:start w:w="75" w:type="dxa"/>
              <w:bottom w:w="55" w:type="dxa"/>
              <w:end w:w="75" w:type="dxa"/>
            </w:tcMar>
            <w:vAlign w:val="top"/>
            <w:shd w:fill="EEF3F6"/>
          </w:tcPr>
          <w:p>
            <w:pPr>
              <w:spacing w:after="0" w:line="240" w:lineRule="auto"/>
            </w:pPr>
            <w:r>
              <w:rPr>
                <w:b w:val="0"/>
                <w:sz w:val="15"/>
              </w:rPr>
              <w:t>Prescriber documents the change; nurse stops/holds prior supply from active use as appropriate and communicates the current status to charge nurse, Alderwick, and the next nurse/covering prescriber. Reconcile physical supply and the administration record.</w:t>
            </w:r>
          </w:p>
        </w:tc>
      </w:tr>
      <w:tr>
        <w:trPr>
          <w:cantSplit/>
        </w:trPr>
        <w:tc>
          <w:tcPr>
            <w:tcW w:type="dxa" w:w="2376"/>
            <w:tcMar>
              <w:top w:w="55" w:type="dxa"/>
              <w:start w:w="75" w:type="dxa"/>
              <w:bottom w:w="55" w:type="dxa"/>
              <w:end w:w="75" w:type="dxa"/>
            </w:tcMar>
            <w:vAlign w:val="top"/>
          </w:tcPr>
          <w:p>
            <w:pPr>
              <w:spacing w:after="0" w:line="240" w:lineRule="auto"/>
            </w:pPr>
            <w:r>
              <w:rPr>
                <w:b w:val="0"/>
                <w:sz w:val="15"/>
              </w:rPr>
              <w:t>Adverse reaction or medication-related emergency</w:t>
            </w:r>
          </w:p>
        </w:tc>
        <w:tc>
          <w:tcPr>
            <w:tcW w:type="dxa" w:w="8064"/>
            <w:tcMar>
              <w:top w:w="55" w:type="dxa"/>
              <w:start w:w="75" w:type="dxa"/>
              <w:bottom w:w="55" w:type="dxa"/>
              <w:end w:w="75" w:type="dxa"/>
            </w:tcMar>
            <w:vAlign w:val="top"/>
          </w:tcPr>
          <w:p>
            <w:pPr>
              <w:spacing w:after="0" w:line="240" w:lineRule="auto"/>
            </w:pPr>
            <w:r>
              <w:rPr>
                <w:b w:val="0"/>
                <w:sz w:val="15"/>
              </w:rPr>
              <w:t>Take immediate patient-safety action under the service emergency response, summon appropriate clinical assistance, notify the prescriber/clinical lead, preserve relevant medication information, document the event and actions, notify pharmacy as relevant, and ensure follow-up is handed over.</w:t>
            </w:r>
          </w:p>
        </w:tc>
      </w:tr>
      <w:tr>
        <w:trPr>
          <w:cantSplit/>
        </w:trPr>
        <w:tc>
          <w:tcPr>
            <w:tcW w:type="dxa" w:w="2376"/>
            <w:tcMar>
              <w:top w:w="55" w:type="dxa"/>
              <w:start w:w="75" w:type="dxa"/>
              <w:bottom w:w="55" w:type="dxa"/>
              <w:end w:w="75" w:type="dxa"/>
            </w:tcMar>
            <w:vAlign w:val="top"/>
            <w:shd w:fill="EEF3F6"/>
          </w:tcPr>
          <w:p>
            <w:pPr>
              <w:spacing w:after="0" w:line="240" w:lineRule="auto"/>
            </w:pPr>
            <w:r>
              <w:rPr>
                <w:b w:val="0"/>
                <w:sz w:val="15"/>
              </w:rPr>
              <w:t>Any discrepancy or suspected diversion</w:t>
            </w:r>
          </w:p>
        </w:tc>
        <w:tc>
          <w:tcPr>
            <w:tcW w:type="dxa" w:w="8064"/>
            <w:tcMar>
              <w:top w:w="55" w:type="dxa"/>
              <w:start w:w="75" w:type="dxa"/>
              <w:bottom w:w="55" w:type="dxa"/>
              <w:end w:w="75" w:type="dxa"/>
            </w:tcMar>
            <w:vAlign w:val="top"/>
            <w:shd w:fill="EEF3F6"/>
          </w:tcPr>
          <w:p>
            <w:pPr>
              <w:spacing w:after="0" w:line="240" w:lineRule="auto"/>
            </w:pPr>
            <w:r>
              <w:rPr>
                <w:b w:val="0"/>
                <w:sz w:val="15"/>
              </w:rPr>
              <w:t>Secure medication and records, protect patient care, promptly notify charge nurse and service lead, make the required discrepancy record, use witnesses as applicable, preserve the access/custody trail, and support investigation. Do not normalize, conceal, or “fix” a discrepancy by borrowing stock.</w:t>
            </w:r>
          </w:p>
        </w:tc>
      </w:tr>
    </w:tbl>
    <w:p>
      <w:pPr>
        <w:spacing w:after="0"/>
      </w:pPr>
    </w:p>
    <w:p>
      <w:pPr>
        <w:spacing w:before="120" w:after="40"/>
      </w:pPr>
      <w:r>
        <w:rPr>
          <w:b/>
          <w:color w:val="174669"/>
          <w:sz w:val="22"/>
        </w:rPr>
        <w:t>6. Shift change, coverage, and audit trail</w:t>
      </w:r>
    </w:p>
    <w:p>
      <w:pPr>
        <w:spacing w:before="0" w:after="40"/>
      </w:pPr>
      <w:r>
        <w:t>The outgoing charge or delegated nurse leads a confidential, role-limited medication handoff with the oncoming nurse. It covers: pending or unreviewed orders; expected Alderwick deliveries and supply gaps; first-dose/override use awaiting retrospective pharmacist review; recent PRNs with indication and response; controlled-medication reconciliation; refrigerator excursions; refusals, omissions, delays, urgent changes, returns/wastage, recalls, and every unresolved discrepancy. The oncoming nurse accepts a named owner and due action. A covering prescriber receives only the clinically necessary patient-specific status through the approved record and handoff—not a broad medication list for convenience.</w:t>
      </w:r>
    </w:p>
    <w:p>
      <w:pPr>
        <w:spacing w:before="0" w:after="40"/>
      </w:pPr>
      <w:r>
        <w:t>The auditable record set is: current order and pharmacist-review record; patient-specific label/dispensing record; delivery receiving and discrepancy log; access record; administration record (including refusals, omissions, PRN indication/response); emergency/override authorization-and-use record; controlled-medication custody and reconciliation record; temperature-monitoring and excursion record; return/wastage and recall/quarantine record; incident/investigation record; and shift-handoff record. Keep records in the approved system and disclose them only to roles involved in care, operations, safety, or authorized oversight.</w:t>
      </w:r>
    </w:p>
    <w:p>
      <w:pPr>
        <w:spacing w:before="120" w:after="40"/>
      </w:pPr>
      <w:r>
        <w:rPr>
          <w:b/>
          <w:color w:val="174669"/>
          <w:sz w:val="22"/>
        </w:rPr>
        <w:t>7. Teaching point: protect the patient and the trail</w:t>
      </w:r>
    </w:p>
    <w:tbl>
      <w:tblPr>
        <w:tblW w:type="auto" w:w="0"/>
        <w:jc w:val="center"/>
        <w:tblLayout w:type="fixed"/>
        <w:tblLook w:firstColumn="1" w:firstRow="1" w:lastColumn="0" w:lastRow="0" w:noHBand="0" w:noVBand="1" w:val="04A0"/>
      </w:tblPr>
      <w:tblGrid>
        <w:gridCol w:w="10598"/>
      </w:tblGrid>
      <w:tr>
        <w:tc>
          <w:tcPr>
            <w:tcW w:type="dxa" w:w="10440"/>
            <w:shd w:fill="FFF3D8"/>
            <w:tcMar>
              <w:top w:w="85" w:type="dxa"/>
              <w:start w:w="115" w:type="dxa"/>
              <w:bottom w:w="85" w:type="dxa"/>
              <w:end w:w="115" w:type="dxa"/>
            </w:tcMar>
          </w:tcPr>
          <w:p>
            <w:pPr>
              <w:spacing w:after="40"/>
            </w:pPr>
            <w:r>
              <w:rPr>
                <w:b/>
                <w:color w:val="7C4B00"/>
                <w:sz w:val="18"/>
              </w:rPr>
              <w:t>Never borrow, share, relabel, carry forward, or administer another patient’s medication.</w:t>
            </w:r>
          </w:p>
          <w:p>
            <w:pPr>
              <w:spacing w:after="20"/>
            </w:pPr>
            <w:r>
              <w:rPr>
                <w:b w:val="0"/>
                <w:sz w:val="17"/>
              </w:rPr>
              <w:t>Never use emergency or override supply merely to avoid a pharmacy request, a delivery wait that is not clinically unsafe, or ordinary supply work. These shortcuts break patient-specific verification, obscure custody and inventory, and increase diversion risk. If the needed item is not patient-specific and the urgency threshold is not met, pause and call the charge nurse/prescriber and Alderwick rather than improvising.</w:t>
            </w:r>
          </w:p>
        </w:tc>
      </w:tr>
    </w:tbl>
    <w:p>
      <w:pPr>
        <w:spacing w:before="120" w:after="40"/>
      </w:pPr>
      <w:r>
        <w:rPr>
          <w:b/>
          <w:color w:val="174669"/>
          <w:sz w:val="22"/>
        </w:rPr>
        <w:t>8. Alternatives ruled out</w:t>
      </w:r>
    </w:p>
    <w:tbl>
      <w:tblPr>
        <w:tblStyle w:val="TableGrid"/>
        <w:tblW w:type="auto" w:w="0"/>
        <w:jc w:val="center"/>
        <w:tblLayout w:type="fixed"/>
        <w:tblLook w:firstColumn="1" w:firstRow="1" w:lastColumn="0" w:lastRow="0" w:noHBand="0" w:noVBand="1" w:val="04A0"/>
      </w:tblPr>
      <w:tblGrid>
        <w:gridCol w:w="5299"/>
        <w:gridCol w:w="5299"/>
      </w:tblGrid>
      <w:tr>
        <w:trPr>
          <w:cantSplit/>
        </w:trPr>
        <w:tc>
          <w:tcPr>
            <w:tcW w:type="dxa" w:w="2880"/>
            <w:shd w:fill="173F5F"/>
            <w:tcMar>
              <w:top w:w="55" w:type="dxa"/>
              <w:start w:w="75" w:type="dxa"/>
              <w:bottom w:w="55" w:type="dxa"/>
              <w:end w:w="75" w:type="dxa"/>
            </w:tcMar>
          </w:tcPr>
          <w:p>
            <w:pPr>
              <w:spacing w:after="0"/>
            </w:pPr>
            <w:r>
              <w:rPr>
                <w:b/>
                <w:color w:val="FFFFFF"/>
                <w:sz w:val="16"/>
              </w:rPr>
              <w:t>Alternative</w:t>
            </w:r>
          </w:p>
        </w:tc>
        <w:tc>
          <w:tcPr>
            <w:tcW w:type="dxa" w:w="7560"/>
            <w:shd w:fill="173F5F"/>
            <w:tcMar>
              <w:top w:w="55" w:type="dxa"/>
              <w:start w:w="75" w:type="dxa"/>
              <w:bottom w:w="55" w:type="dxa"/>
              <w:end w:w="75" w:type="dxa"/>
            </w:tcMar>
          </w:tcPr>
          <w:p>
            <w:pPr>
              <w:spacing w:after="0"/>
            </w:pPr>
            <w:r>
              <w:rPr>
                <w:b/>
                <w:color w:val="FFFFFF"/>
                <w:sz w:val="16"/>
              </w:rPr>
              <w:t>Why it fails at Bellwether Ridge</w:t>
            </w:r>
          </w:p>
        </w:tc>
      </w:tr>
      <w:tr>
        <w:trPr>
          <w:cantSplit/>
        </w:trPr>
        <w:tc>
          <w:tcPr>
            <w:tcW w:type="dxa" w:w="2880"/>
            <w:tcMar>
              <w:top w:w="55" w:type="dxa"/>
              <w:start w:w="75" w:type="dxa"/>
              <w:bottom w:w="55" w:type="dxa"/>
              <w:end w:w="75" w:type="dxa"/>
            </w:tcMar>
            <w:vAlign w:val="top"/>
          </w:tcPr>
          <w:p>
            <w:pPr>
              <w:spacing w:after="0" w:line="240" w:lineRule="auto"/>
            </w:pPr>
            <w:r>
              <w:rPr>
                <w:b w:val="0"/>
                <w:sz w:val="15"/>
              </w:rPr>
              <w:t>Large broadly stocked unit medication room</w:t>
            </w:r>
          </w:p>
        </w:tc>
        <w:tc>
          <w:tcPr>
            <w:tcW w:type="dxa" w:w="7560"/>
            <w:tcMar>
              <w:top w:w="55" w:type="dxa"/>
              <w:start w:w="75" w:type="dxa"/>
              <w:bottom w:w="55" w:type="dxa"/>
              <w:end w:w="75" w:type="dxa"/>
            </w:tcMar>
            <w:vAlign w:val="top"/>
          </w:tcPr>
          <w:p>
            <w:pPr>
              <w:spacing w:after="0" w:line="240" w:lineRule="auto"/>
            </w:pPr>
            <w:r>
              <w:rPr>
                <w:b w:val="0"/>
                <w:sz w:val="15"/>
              </w:rPr>
              <w:t>It conflicts with the stated direction not to depend on a large locked medication room; it expands patient-access and diversion exposure and makes a patient-specific, twice-daily delivery model less disciplined.</w:t>
            </w:r>
          </w:p>
        </w:tc>
      </w:tr>
      <w:tr>
        <w:trPr>
          <w:cantSplit/>
        </w:trPr>
        <w:tc>
          <w:tcPr>
            <w:tcW w:type="dxa" w:w="2880"/>
            <w:tcMar>
              <w:top w:w="55" w:type="dxa"/>
              <w:start w:w="75" w:type="dxa"/>
              <w:bottom w:w="55" w:type="dxa"/>
              <w:end w:w="75" w:type="dxa"/>
            </w:tcMar>
            <w:vAlign w:val="top"/>
            <w:shd w:fill="EEF3F6"/>
          </w:tcPr>
          <w:p>
            <w:pPr>
              <w:spacing w:after="0" w:line="240" w:lineRule="auto"/>
            </w:pPr>
            <w:r>
              <w:rPr>
                <w:b w:val="0"/>
                <w:sz w:val="15"/>
              </w:rPr>
              <w:t>Wall-mounted cabinet or automated-cabinet model</w:t>
            </w:r>
          </w:p>
        </w:tc>
        <w:tc>
          <w:tcPr>
            <w:tcW w:type="dxa" w:w="7560"/>
            <w:tcMar>
              <w:top w:w="55" w:type="dxa"/>
              <w:start w:w="75" w:type="dxa"/>
              <w:bottom w:w="55" w:type="dxa"/>
              <w:end w:w="75" w:type="dxa"/>
            </w:tcMar>
            <w:vAlign w:val="top"/>
            <w:shd w:fill="EEF3F6"/>
          </w:tcPr>
          <w:p>
            <w:pPr>
              <w:spacing w:after="0" w:line="240" w:lineRule="auto"/>
            </w:pPr>
            <w:r>
              <w:rPr>
                <w:b w:val="0"/>
                <w:sz w:val="15"/>
              </w:rPr>
              <w:t>The physical-plant ligature-risk assessment excludes dependence on wall-mounted cabinets. Adding one would defeat the behavioral-health safety constraint rather than resolve it.</w:t>
            </w:r>
          </w:p>
        </w:tc>
      </w:tr>
      <w:tr>
        <w:trPr>
          <w:cantSplit/>
        </w:trPr>
        <w:tc>
          <w:tcPr>
            <w:tcW w:type="dxa" w:w="2880"/>
            <w:tcMar>
              <w:top w:w="55" w:type="dxa"/>
              <w:start w:w="75" w:type="dxa"/>
              <w:bottom w:w="55" w:type="dxa"/>
              <w:end w:w="75" w:type="dxa"/>
            </w:tcMar>
            <w:vAlign w:val="top"/>
          </w:tcPr>
          <w:p>
            <w:pPr>
              <w:spacing w:after="0" w:line="240" w:lineRule="auto"/>
            </w:pPr>
            <w:r>
              <w:rPr>
                <w:b w:val="0"/>
                <w:sz w:val="15"/>
              </w:rPr>
              <w:t>Wait for every delivery or pharmacist review</w:t>
            </w:r>
          </w:p>
        </w:tc>
        <w:tc>
          <w:tcPr>
            <w:tcW w:type="dxa" w:w="7560"/>
            <w:tcMar>
              <w:top w:w="55" w:type="dxa"/>
              <w:start w:w="75" w:type="dxa"/>
              <w:bottom w:w="55" w:type="dxa"/>
              <w:end w:w="75" w:type="dxa"/>
            </w:tcMar>
            <w:vAlign w:val="top"/>
          </w:tcPr>
          <w:p>
            <w:pPr>
              <w:spacing w:after="0" w:line="240" w:lineRule="auto"/>
            </w:pPr>
            <w:r>
              <w:rPr>
                <w:b w:val="0"/>
                <w:sz w:val="15"/>
              </w:rPr>
              <w:t>This would leave a clinically necessary first dose or PRN unavailable when waiting would create an unsafe delay. It fails the timely-care assurance and the standard’s emergency/first-dose pathway.</w:t>
            </w:r>
          </w:p>
        </w:tc>
      </w:tr>
      <w:tr>
        <w:trPr>
          <w:cantSplit/>
        </w:trPr>
        <w:tc>
          <w:tcPr>
            <w:tcW w:type="dxa" w:w="2880"/>
            <w:tcMar>
              <w:top w:w="55" w:type="dxa"/>
              <w:start w:w="75" w:type="dxa"/>
              <w:bottom w:w="55" w:type="dxa"/>
              <w:end w:w="75" w:type="dxa"/>
            </w:tcMar>
            <w:vAlign w:val="top"/>
            <w:shd w:fill="EEF3F6"/>
          </w:tcPr>
          <w:p>
            <w:pPr>
              <w:spacing w:after="0" w:line="240" w:lineRule="auto"/>
            </w:pPr>
            <w:r>
              <w:rPr>
                <w:b w:val="0"/>
                <w:sz w:val="15"/>
              </w:rPr>
              <w:t>Large unrestricted override stock</w:t>
            </w:r>
          </w:p>
        </w:tc>
        <w:tc>
          <w:tcPr>
            <w:tcW w:type="dxa" w:w="7560"/>
            <w:tcMar>
              <w:top w:w="55" w:type="dxa"/>
              <w:start w:w="75" w:type="dxa"/>
              <w:bottom w:w="55" w:type="dxa"/>
              <w:end w:w="75" w:type="dxa"/>
            </w:tcMar>
            <w:vAlign w:val="top"/>
            <w:shd w:fill="EEF3F6"/>
          </w:tcPr>
          <w:p>
            <w:pPr>
              <w:spacing w:after="0" w:line="240" w:lineRule="auto"/>
            </w:pPr>
            <w:r>
              <w:rPr>
                <w:b w:val="0"/>
                <w:sz w:val="15"/>
              </w:rPr>
              <w:t>It invites convenience use, weakens patient-specific accountability, and heightens diversion risk. It is inconsistent with an exceptional, authorized, documented, inventoried, and reconciled emergency supply.</w:t>
            </w:r>
          </w:p>
        </w:tc>
      </w:tr>
    </w:tbl>
    <w:p>
      <w:pPr>
        <w:spacing w:after="0"/>
      </w:pPr>
    </w:p>
    <w:p>
      <w:pPr>
        <w:spacing w:before="120" w:after="40"/>
      </w:pPr>
      <w:r>
        <w:rPr>
          <w:b/>
          <w:color w:val="174669"/>
          <w:sz w:val="22"/>
        </w:rPr>
        <w:t>Chosen design and rationale</w:t>
      </w:r>
    </w:p>
    <w:p>
      <w:pPr>
        <w:spacing w:after="0"/>
      </w:pPr>
      <w:r>
        <w:rPr>
          <w:b/>
          <w:color w:val="174669"/>
          <w:sz w:val="18"/>
        </w:rPr>
        <w:t xml:space="preserve">Bellwether Ridge should implement the centralized secure medication service point with patient-specific twice-daily Alderwick supply and a small, separately controlled contingency pathway. </w:t>
      </w:r>
      <w:r>
        <w:rPr>
          <w:b w:val="0"/>
        </w:rPr>
        <w:t>It fits the ligature-risk build by avoiding wall-mounted cabinets and a broad ward stock room, preserves prompt first-dose and PRN care through documented clinical exception, and keeps diversion control credible through restricted auditable access, controlled-drug reconciliation, and post-use inventory review. This is the one design that resolves both Ivo’s no-delay assurance and the Authority’s medication-governance safeguards.</w:t>
      </w:r>
    </w:p>
    <w:sectPr w:rsidR="00FC693F" w:rsidRPr="0006063C" w:rsidSect="00034616">
      <w:headerReference w:type="default" r:id="rId9"/>
      <w:footerReference w:type="default" r:id="rId10"/>
      <w:pgSz w:w="12240" w:h="15840"/>
      <w:pgMar w:top="749" w:right="821" w:bottom="691"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36672"/>
        <w:sz w:val="15"/>
      </w:rPr>
      <w:t xml:space="preserve">Internal implementation briefing  •  Cavendish Authority alignment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36672"/>
        <w:sz w:val="15"/>
      </w:rPr>
      <w:t>BELLWETHER RIDGE  |  IMPLEMENTATION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rPr>
      <w:rFonts w:ascii="Aptos" w:hAnsi="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